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0B43D" w14:textId="77777777" w:rsidR="00A37998" w:rsidRDefault="00A37998" w:rsidP="00625F4B">
      <w:pPr>
        <w:spacing w:after="20"/>
        <w:rPr>
          <w:rFonts w:eastAsia="Calibri"/>
          <w:szCs w:val="22"/>
        </w:rPr>
      </w:pPr>
    </w:p>
    <w:p w14:paraId="2ECF775B" w14:textId="77777777" w:rsidR="00A37998" w:rsidRPr="00FC17B7" w:rsidRDefault="00A37998" w:rsidP="00625F4B">
      <w:pPr>
        <w:pStyle w:val="Nzev"/>
        <w:spacing w:after="20"/>
        <w:rPr>
          <w:rFonts w:ascii="Verdana" w:hAnsi="Verdana"/>
          <w:b w:val="0"/>
          <w:sz w:val="28"/>
          <w:szCs w:val="28"/>
        </w:rPr>
      </w:pPr>
    </w:p>
    <w:p w14:paraId="6822A6D0" w14:textId="77777777" w:rsidR="00A37998" w:rsidRPr="00FC17B7" w:rsidRDefault="00A37998" w:rsidP="00625F4B">
      <w:pPr>
        <w:pStyle w:val="Nzev"/>
        <w:spacing w:after="20"/>
        <w:rPr>
          <w:rFonts w:ascii="Verdana" w:hAnsi="Verdana"/>
          <w:b w:val="0"/>
          <w:sz w:val="28"/>
          <w:szCs w:val="28"/>
        </w:rPr>
      </w:pPr>
    </w:p>
    <w:p w14:paraId="146661B7" w14:textId="77777777" w:rsidR="00A37998" w:rsidRDefault="00A37998" w:rsidP="00625F4B">
      <w:pPr>
        <w:pStyle w:val="Nzev"/>
        <w:spacing w:after="20"/>
        <w:rPr>
          <w:rFonts w:ascii="Verdana" w:hAnsi="Verdana"/>
          <w:sz w:val="56"/>
          <w:szCs w:val="56"/>
        </w:rPr>
      </w:pPr>
      <w:bookmarkStart w:id="0" w:name="_GoBack"/>
      <w:bookmarkEnd w:id="0"/>
    </w:p>
    <w:p w14:paraId="36BF6F64" w14:textId="77777777" w:rsidR="00A37998" w:rsidRDefault="00A37998" w:rsidP="00625F4B">
      <w:pPr>
        <w:pStyle w:val="Nzev"/>
        <w:spacing w:after="20"/>
        <w:rPr>
          <w:rFonts w:ascii="Verdana" w:hAnsi="Verdana"/>
          <w:sz w:val="56"/>
          <w:szCs w:val="56"/>
        </w:rPr>
      </w:pPr>
    </w:p>
    <w:p w14:paraId="692114DC" w14:textId="77777777" w:rsidR="00A37998" w:rsidRPr="00FC17B7" w:rsidRDefault="00A37998" w:rsidP="00625F4B">
      <w:pPr>
        <w:pStyle w:val="Nzev"/>
        <w:spacing w:after="20"/>
        <w:rPr>
          <w:rFonts w:ascii="Verdana" w:hAnsi="Verdana"/>
          <w:sz w:val="56"/>
          <w:szCs w:val="56"/>
        </w:rPr>
      </w:pPr>
      <w:r w:rsidRPr="00FC17B7">
        <w:rPr>
          <w:rFonts w:ascii="Verdana" w:hAnsi="Verdana"/>
          <w:sz w:val="56"/>
          <w:szCs w:val="56"/>
        </w:rPr>
        <w:t>SEMINÁRNÍ PRÁCE</w:t>
      </w:r>
    </w:p>
    <w:p w14:paraId="352A2B57" w14:textId="77777777" w:rsidR="00A37998" w:rsidRPr="00FC17B7" w:rsidRDefault="00A37998" w:rsidP="00625F4B">
      <w:pPr>
        <w:pStyle w:val="Nzev"/>
        <w:spacing w:after="20"/>
        <w:rPr>
          <w:rFonts w:ascii="Verdana" w:hAnsi="Verdana"/>
          <w:sz w:val="28"/>
          <w:szCs w:val="28"/>
        </w:rPr>
      </w:pPr>
    </w:p>
    <w:p w14:paraId="2DCD8644" w14:textId="77777777" w:rsidR="00A37998" w:rsidRPr="00FC17B7" w:rsidRDefault="00A37998" w:rsidP="00625F4B">
      <w:pPr>
        <w:pStyle w:val="Nzev"/>
        <w:spacing w:after="20"/>
        <w:rPr>
          <w:rFonts w:ascii="Verdana" w:hAnsi="Verdana"/>
          <w:sz w:val="28"/>
          <w:szCs w:val="28"/>
        </w:rPr>
      </w:pPr>
    </w:p>
    <w:p w14:paraId="40A4BA7E" w14:textId="77777777" w:rsidR="00A37998" w:rsidRPr="00FC17B7" w:rsidRDefault="00A37998" w:rsidP="00625F4B">
      <w:pPr>
        <w:pStyle w:val="Nzev"/>
        <w:spacing w:after="20"/>
        <w:rPr>
          <w:rFonts w:ascii="Verdana" w:hAnsi="Verdana"/>
          <w:sz w:val="28"/>
          <w:szCs w:val="28"/>
        </w:rPr>
      </w:pPr>
      <w:r>
        <w:rPr>
          <w:rFonts w:ascii="Verdana" w:hAnsi="Verdana"/>
          <w:noProof/>
          <w:sz w:val="28"/>
          <w:szCs w:val="28"/>
          <w:lang w:eastAsia="ja-JP"/>
        </w:rPr>
        <w:drawing>
          <wp:anchor distT="0" distB="0" distL="114300" distR="114300" simplePos="0" relativeHeight="251660288" behindDoc="1" locked="0" layoutInCell="1" allowOverlap="1" wp14:anchorId="77A37426" wp14:editId="54ABC3F3">
            <wp:simplePos x="0" y="0"/>
            <wp:positionH relativeFrom="column">
              <wp:posOffset>1117354</wp:posOffset>
            </wp:positionH>
            <wp:positionV relativeFrom="paragraph">
              <wp:posOffset>169280</wp:posOffset>
            </wp:positionV>
            <wp:extent cx="3119935" cy="3125337"/>
            <wp:effectExtent l="19050" t="0" r="4265" b="0"/>
            <wp:wrapNone/>
            <wp:docPr id="29" name="obrázek 3" descr="znak_V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k_VSEM"/>
                    <pic:cNvPicPr>
                      <a:picLocks noChangeAspect="1" noChangeArrowheads="1"/>
                    </pic:cNvPicPr>
                  </pic:nvPicPr>
                  <pic:blipFill>
                    <a:blip r:embed="rId8">
                      <a:lum bright="70000" contrast="-70000"/>
                      <a:grayscl/>
                    </a:blip>
                    <a:srcRect/>
                    <a:stretch>
                      <a:fillRect/>
                    </a:stretch>
                  </pic:blipFill>
                  <pic:spPr bwMode="auto">
                    <a:xfrm>
                      <a:off x="0" y="0"/>
                      <a:ext cx="3119935" cy="3125337"/>
                    </a:xfrm>
                    <a:prstGeom prst="rect">
                      <a:avLst/>
                    </a:prstGeom>
                    <a:noFill/>
                    <a:ln w="9525">
                      <a:noFill/>
                      <a:miter lim="800000"/>
                      <a:headEnd/>
                      <a:tailEnd/>
                    </a:ln>
                  </pic:spPr>
                </pic:pic>
              </a:graphicData>
            </a:graphic>
          </wp:anchor>
        </w:drawing>
      </w:r>
    </w:p>
    <w:p w14:paraId="0A933ACF" w14:textId="77777777" w:rsidR="00A37998" w:rsidRPr="00FC17B7" w:rsidRDefault="00A37998" w:rsidP="00625F4B">
      <w:pPr>
        <w:pStyle w:val="Nzev"/>
        <w:spacing w:after="20"/>
        <w:rPr>
          <w:rFonts w:ascii="Verdana" w:hAnsi="Verdana"/>
          <w:sz w:val="28"/>
          <w:szCs w:val="28"/>
        </w:rPr>
      </w:pPr>
    </w:p>
    <w:p w14:paraId="4D43D22B" w14:textId="77777777" w:rsidR="00A37998" w:rsidRPr="00FC17B7" w:rsidRDefault="00A37998" w:rsidP="00625F4B">
      <w:pPr>
        <w:pStyle w:val="Nzev"/>
        <w:spacing w:after="20"/>
        <w:rPr>
          <w:rFonts w:ascii="Verdana" w:hAnsi="Verdana"/>
          <w:sz w:val="28"/>
          <w:szCs w:val="28"/>
        </w:rPr>
      </w:pPr>
    </w:p>
    <w:p w14:paraId="3DE29396" w14:textId="77777777" w:rsidR="00A37998" w:rsidRDefault="00217BD8" w:rsidP="00625F4B">
      <w:pPr>
        <w:pStyle w:val="Nzev"/>
        <w:tabs>
          <w:tab w:val="left" w:pos="426"/>
          <w:tab w:val="left" w:pos="7611"/>
        </w:tabs>
        <w:spacing w:after="20"/>
        <w:jc w:val="both"/>
        <w:rPr>
          <w:rFonts w:ascii="Verdana" w:hAnsi="Verdana"/>
          <w:sz w:val="28"/>
          <w:szCs w:val="28"/>
        </w:rPr>
      </w:pPr>
      <w:r>
        <w:rPr>
          <w:rFonts w:ascii="Verdana" w:hAnsi="Verdana"/>
          <w:sz w:val="28"/>
          <w:szCs w:val="28"/>
        </w:rPr>
        <w:tab/>
      </w:r>
    </w:p>
    <w:p w14:paraId="3844C4C6" w14:textId="77777777" w:rsidR="00132C3E" w:rsidRDefault="00132C3E" w:rsidP="00625F4B">
      <w:pPr>
        <w:pStyle w:val="Nzev"/>
        <w:spacing w:after="20"/>
        <w:jc w:val="both"/>
        <w:rPr>
          <w:rFonts w:ascii="Verdana" w:hAnsi="Verdana"/>
          <w:sz w:val="28"/>
          <w:szCs w:val="28"/>
        </w:rPr>
      </w:pPr>
    </w:p>
    <w:p w14:paraId="413DAD42" w14:textId="77777777" w:rsidR="00132C3E" w:rsidRDefault="00132C3E" w:rsidP="00625F4B">
      <w:pPr>
        <w:pStyle w:val="Nzev"/>
        <w:spacing w:after="20"/>
        <w:jc w:val="both"/>
        <w:rPr>
          <w:rFonts w:ascii="Verdana" w:hAnsi="Verdana"/>
          <w:sz w:val="28"/>
          <w:szCs w:val="28"/>
        </w:rPr>
      </w:pPr>
    </w:p>
    <w:p w14:paraId="762C81D5" w14:textId="77777777" w:rsidR="00132C3E" w:rsidRDefault="00132C3E" w:rsidP="00625F4B">
      <w:pPr>
        <w:pStyle w:val="Nzev"/>
        <w:spacing w:after="20"/>
        <w:jc w:val="both"/>
        <w:rPr>
          <w:rFonts w:ascii="Verdana" w:hAnsi="Verdana"/>
          <w:sz w:val="28"/>
          <w:szCs w:val="28"/>
        </w:rPr>
      </w:pPr>
    </w:p>
    <w:p w14:paraId="247DC5D0" w14:textId="77777777" w:rsidR="00442D79" w:rsidRDefault="00442D79" w:rsidP="00625F4B">
      <w:pPr>
        <w:pStyle w:val="Nzev"/>
        <w:spacing w:after="20"/>
        <w:jc w:val="both"/>
        <w:rPr>
          <w:rFonts w:ascii="Verdana" w:hAnsi="Verdana"/>
          <w:sz w:val="28"/>
          <w:szCs w:val="28"/>
        </w:rPr>
      </w:pPr>
    </w:p>
    <w:p w14:paraId="081A72BD" w14:textId="77777777" w:rsidR="00442D79" w:rsidRDefault="00442D79" w:rsidP="00625F4B">
      <w:pPr>
        <w:pStyle w:val="Nzev"/>
        <w:spacing w:after="20"/>
        <w:jc w:val="both"/>
        <w:rPr>
          <w:rFonts w:ascii="Verdana" w:hAnsi="Verdana"/>
          <w:sz w:val="28"/>
          <w:szCs w:val="28"/>
        </w:rPr>
      </w:pPr>
    </w:p>
    <w:p w14:paraId="79B07CA5" w14:textId="77777777" w:rsidR="00442D79" w:rsidRDefault="00442D79" w:rsidP="00625F4B">
      <w:pPr>
        <w:pStyle w:val="Nzev"/>
        <w:spacing w:after="20"/>
        <w:jc w:val="both"/>
        <w:rPr>
          <w:rFonts w:ascii="Verdana" w:hAnsi="Verdana"/>
          <w:sz w:val="28"/>
          <w:szCs w:val="28"/>
        </w:rPr>
      </w:pPr>
    </w:p>
    <w:p w14:paraId="02AACACB" w14:textId="77777777" w:rsidR="00442D79" w:rsidRDefault="00442D79" w:rsidP="00625F4B">
      <w:pPr>
        <w:pStyle w:val="Nzev"/>
        <w:spacing w:after="20"/>
        <w:rPr>
          <w:rFonts w:ascii="Verdana" w:hAnsi="Verdana"/>
          <w:sz w:val="28"/>
          <w:szCs w:val="28"/>
        </w:rPr>
      </w:pPr>
    </w:p>
    <w:p w14:paraId="6D32832B" w14:textId="77777777" w:rsidR="00442D79" w:rsidRDefault="00442D79" w:rsidP="00625F4B">
      <w:pPr>
        <w:pStyle w:val="Nzev"/>
        <w:spacing w:after="20"/>
        <w:jc w:val="both"/>
        <w:rPr>
          <w:rFonts w:ascii="Verdana" w:hAnsi="Verdana"/>
          <w:sz w:val="28"/>
          <w:szCs w:val="28"/>
        </w:rPr>
      </w:pPr>
    </w:p>
    <w:p w14:paraId="45DEF605" w14:textId="77777777" w:rsidR="00442D79" w:rsidRDefault="00442D79" w:rsidP="00625F4B">
      <w:pPr>
        <w:pStyle w:val="Nzev"/>
        <w:spacing w:after="20"/>
        <w:jc w:val="both"/>
        <w:rPr>
          <w:rFonts w:ascii="Verdana" w:hAnsi="Verdana"/>
          <w:sz w:val="28"/>
          <w:szCs w:val="28"/>
        </w:rPr>
      </w:pPr>
    </w:p>
    <w:p w14:paraId="1590EFDE" w14:textId="77777777" w:rsidR="00442D79" w:rsidRDefault="00442D79" w:rsidP="00625F4B">
      <w:pPr>
        <w:pStyle w:val="Nzev"/>
        <w:spacing w:after="20"/>
        <w:jc w:val="both"/>
        <w:rPr>
          <w:rFonts w:ascii="Verdana" w:hAnsi="Verdana"/>
          <w:sz w:val="28"/>
          <w:szCs w:val="28"/>
        </w:rPr>
      </w:pPr>
    </w:p>
    <w:p w14:paraId="744EC726" w14:textId="77777777" w:rsidR="00442D79" w:rsidRDefault="00442D79" w:rsidP="00625F4B">
      <w:pPr>
        <w:pStyle w:val="Nzev"/>
        <w:spacing w:after="20"/>
        <w:jc w:val="both"/>
        <w:rPr>
          <w:rFonts w:ascii="Verdana" w:hAnsi="Verdana"/>
          <w:sz w:val="28"/>
          <w:szCs w:val="28"/>
        </w:rPr>
      </w:pPr>
    </w:p>
    <w:p w14:paraId="0D3B0328" w14:textId="77777777" w:rsidR="00442D79" w:rsidRDefault="00442D79" w:rsidP="00625F4B">
      <w:pPr>
        <w:pStyle w:val="Nzev"/>
        <w:spacing w:after="20"/>
        <w:jc w:val="both"/>
        <w:rPr>
          <w:rFonts w:ascii="Verdana" w:hAnsi="Verdana"/>
          <w:sz w:val="28"/>
          <w:szCs w:val="28"/>
        </w:rPr>
      </w:pPr>
    </w:p>
    <w:p w14:paraId="2BF4BCDF" w14:textId="77777777" w:rsidR="00442D79" w:rsidRDefault="00442D79" w:rsidP="00625F4B">
      <w:pPr>
        <w:pStyle w:val="Nzev"/>
        <w:spacing w:after="20"/>
        <w:jc w:val="both"/>
        <w:rPr>
          <w:rFonts w:ascii="Verdana" w:hAnsi="Verdana"/>
          <w:sz w:val="28"/>
          <w:szCs w:val="28"/>
        </w:rPr>
      </w:pPr>
    </w:p>
    <w:p w14:paraId="66FE7859" w14:textId="77777777" w:rsidR="00442D79" w:rsidRDefault="00442D79" w:rsidP="00625F4B">
      <w:pPr>
        <w:pStyle w:val="Nzev"/>
        <w:spacing w:after="20"/>
        <w:jc w:val="both"/>
        <w:rPr>
          <w:rFonts w:ascii="Verdana" w:hAnsi="Verdana"/>
          <w:sz w:val="28"/>
          <w:szCs w:val="28"/>
        </w:rPr>
      </w:pPr>
    </w:p>
    <w:p w14:paraId="4B5BD728" w14:textId="77777777" w:rsidR="00442D79" w:rsidRDefault="00442D79" w:rsidP="00625F4B">
      <w:pPr>
        <w:pStyle w:val="Nzev"/>
        <w:spacing w:after="20"/>
        <w:jc w:val="both"/>
        <w:rPr>
          <w:rFonts w:ascii="Verdana" w:hAnsi="Verdana"/>
          <w:sz w:val="28"/>
          <w:szCs w:val="28"/>
        </w:rPr>
      </w:pPr>
    </w:p>
    <w:p w14:paraId="1D59F7CB" w14:textId="77777777" w:rsidR="00A37998" w:rsidRPr="00FC17B7" w:rsidRDefault="00132C3E" w:rsidP="00625F4B">
      <w:pPr>
        <w:pStyle w:val="Nzev"/>
        <w:spacing w:after="20"/>
        <w:rPr>
          <w:rFonts w:ascii="Verdana" w:hAnsi="Verdana"/>
          <w:b w:val="0"/>
          <w:sz w:val="28"/>
          <w:szCs w:val="28"/>
        </w:rPr>
      </w:pPr>
      <w:r>
        <w:rPr>
          <w:rFonts w:ascii="Verdana" w:hAnsi="Verdana"/>
          <w:sz w:val="36"/>
          <w:szCs w:val="36"/>
        </w:rPr>
        <w:t>KOMUNIKACE A LIDSKÉ ZDROJE</w:t>
      </w:r>
    </w:p>
    <w:p w14:paraId="1F83ED8E" w14:textId="77777777" w:rsidR="00A37998" w:rsidRPr="00FC17B7" w:rsidRDefault="00A37998" w:rsidP="00625F4B">
      <w:pPr>
        <w:pStyle w:val="Nzev"/>
        <w:spacing w:after="20"/>
        <w:rPr>
          <w:rFonts w:ascii="Verdana" w:hAnsi="Verdana"/>
          <w:b w:val="0"/>
          <w:sz w:val="28"/>
          <w:szCs w:val="28"/>
        </w:rPr>
      </w:pPr>
    </w:p>
    <w:p w14:paraId="233D2D04" w14:textId="77777777" w:rsidR="00A37998" w:rsidRDefault="00A37998" w:rsidP="00625F4B">
      <w:pPr>
        <w:pStyle w:val="Nzev"/>
        <w:spacing w:after="20"/>
        <w:rPr>
          <w:rFonts w:ascii="Verdana" w:hAnsi="Verdana"/>
          <w:b w:val="0"/>
          <w:sz w:val="28"/>
          <w:szCs w:val="28"/>
        </w:rPr>
      </w:pPr>
    </w:p>
    <w:p w14:paraId="7CF4B06A" w14:textId="77777777" w:rsidR="00A37998" w:rsidRDefault="00A37998" w:rsidP="00625F4B">
      <w:pPr>
        <w:pStyle w:val="Nzev"/>
        <w:spacing w:after="20"/>
        <w:rPr>
          <w:rFonts w:ascii="Verdana" w:hAnsi="Verdana"/>
          <w:b w:val="0"/>
          <w:sz w:val="28"/>
          <w:szCs w:val="28"/>
        </w:rPr>
      </w:pPr>
    </w:p>
    <w:p w14:paraId="5220DB07" w14:textId="77777777" w:rsidR="00A37998" w:rsidRDefault="00A37998" w:rsidP="00625F4B">
      <w:pPr>
        <w:pStyle w:val="Nzev"/>
        <w:spacing w:after="20"/>
        <w:rPr>
          <w:rFonts w:ascii="Verdana" w:hAnsi="Verdana"/>
          <w:b w:val="0"/>
          <w:sz w:val="28"/>
          <w:szCs w:val="28"/>
        </w:rPr>
      </w:pPr>
    </w:p>
    <w:p w14:paraId="517F7395" w14:textId="77777777" w:rsidR="00A37998" w:rsidRDefault="00A37998" w:rsidP="00625F4B">
      <w:pPr>
        <w:pStyle w:val="Nzev"/>
        <w:spacing w:after="20"/>
        <w:rPr>
          <w:rFonts w:ascii="Verdana" w:hAnsi="Verdana"/>
          <w:b w:val="0"/>
          <w:sz w:val="28"/>
          <w:szCs w:val="28"/>
        </w:rPr>
      </w:pPr>
      <w:r>
        <w:rPr>
          <w:rFonts w:ascii="Verdana" w:hAnsi="Verdana"/>
          <w:b w:val="0"/>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A37998" w:rsidRPr="004D09F5" w14:paraId="14152372" w14:textId="77777777" w:rsidTr="00691F1F">
        <w:tc>
          <w:tcPr>
            <w:tcW w:w="8644" w:type="dxa"/>
            <w:shd w:val="clear" w:color="auto" w:fill="F3F3F3"/>
          </w:tcPr>
          <w:p w14:paraId="21820561" w14:textId="77777777" w:rsidR="00A37998" w:rsidRPr="00120E84" w:rsidRDefault="00A37998" w:rsidP="00625F4B">
            <w:pPr>
              <w:spacing w:after="20"/>
              <w:jc w:val="center"/>
              <w:rPr>
                <w:rFonts w:ascii="Verdana" w:hAnsi="Verdana"/>
                <w:b/>
                <w:bCs/>
              </w:rPr>
            </w:pPr>
            <w:r w:rsidRPr="00D80B55">
              <w:lastRenderedPageBreak/>
              <w:br w:type="page"/>
            </w:r>
            <w:r w:rsidRPr="00120E84">
              <w:rPr>
                <w:rFonts w:ascii="Verdana" w:hAnsi="Verdana"/>
                <w:b/>
                <w:sz w:val="20"/>
              </w:rPr>
              <w:t>Téma a Název seminární práce</w:t>
            </w:r>
          </w:p>
        </w:tc>
      </w:tr>
      <w:tr w:rsidR="00A37998" w:rsidRPr="00120E84" w14:paraId="3127AA1E" w14:textId="77777777" w:rsidTr="00961541">
        <w:trPr>
          <w:trHeight w:val="2380"/>
        </w:trPr>
        <w:tc>
          <w:tcPr>
            <w:tcW w:w="8644" w:type="dxa"/>
          </w:tcPr>
          <w:p w14:paraId="09FD91A7" w14:textId="77777777" w:rsidR="0008080E" w:rsidRDefault="0008080E" w:rsidP="00625F4B">
            <w:pPr>
              <w:spacing w:after="20"/>
              <w:rPr>
                <w:b/>
                <w:sz w:val="20"/>
              </w:rPr>
            </w:pPr>
          </w:p>
          <w:p w14:paraId="5FC960D9" w14:textId="77777777" w:rsidR="00D80B55" w:rsidRDefault="00A37998" w:rsidP="009D3CD5">
            <w:pPr>
              <w:spacing w:after="20"/>
              <w:jc w:val="center"/>
              <w:rPr>
                <w:b/>
                <w:sz w:val="20"/>
              </w:rPr>
            </w:pPr>
            <w:r w:rsidRPr="00120E84">
              <w:rPr>
                <w:rFonts w:ascii="Verdana" w:hAnsi="Verdana"/>
                <w:b/>
                <w:sz w:val="20"/>
              </w:rPr>
              <w:t>Téma SP:</w:t>
            </w:r>
          </w:p>
          <w:p w14:paraId="4B9552FA" w14:textId="77777777" w:rsidR="00C52E01" w:rsidRPr="00C52E01" w:rsidRDefault="00C52E01" w:rsidP="009D3CD5">
            <w:pPr>
              <w:spacing w:after="20"/>
              <w:jc w:val="center"/>
              <w:rPr>
                <w:szCs w:val="24"/>
              </w:rPr>
            </w:pPr>
            <w:r w:rsidRPr="00C52E01">
              <w:rPr>
                <w:szCs w:val="24"/>
              </w:rPr>
              <w:t xml:space="preserve">Vývoj </w:t>
            </w:r>
            <w:r w:rsidR="00E27466">
              <w:rPr>
                <w:szCs w:val="24"/>
              </w:rPr>
              <w:t>ekonomické aktivity a ukazatele</w:t>
            </w:r>
            <w:r w:rsidRPr="00C52E01">
              <w:rPr>
                <w:szCs w:val="24"/>
              </w:rPr>
              <w:t xml:space="preserve"> v oblasti zaměstnanosti a nezaměstnanosti:</w:t>
            </w:r>
          </w:p>
          <w:p w14:paraId="3A9D1B1C" w14:textId="77777777" w:rsidR="00A40177" w:rsidRPr="00C52E01" w:rsidRDefault="00C52E01" w:rsidP="009D3CD5">
            <w:pPr>
              <w:spacing w:after="20"/>
              <w:jc w:val="center"/>
              <w:rPr>
                <w:szCs w:val="24"/>
              </w:rPr>
            </w:pPr>
            <w:r w:rsidRPr="00C52E01">
              <w:rPr>
                <w:szCs w:val="24"/>
              </w:rPr>
              <w:t>Srovnání České republiky a Polska</w:t>
            </w:r>
          </w:p>
          <w:p w14:paraId="3825D64B" w14:textId="77777777" w:rsidR="00A40177" w:rsidRDefault="00A37998" w:rsidP="009D3CD5">
            <w:pPr>
              <w:spacing w:after="20"/>
              <w:jc w:val="center"/>
              <w:rPr>
                <w:b/>
                <w:sz w:val="20"/>
              </w:rPr>
            </w:pPr>
            <w:r w:rsidRPr="00120E84">
              <w:rPr>
                <w:rFonts w:ascii="Verdana" w:hAnsi="Verdana"/>
                <w:b/>
                <w:sz w:val="20"/>
              </w:rPr>
              <w:t>Název SP:</w:t>
            </w:r>
          </w:p>
          <w:p w14:paraId="1E9ABBE9" w14:textId="77777777" w:rsidR="00D80B55" w:rsidRPr="00120E84" w:rsidRDefault="00C52E01" w:rsidP="009D3CD5">
            <w:pPr>
              <w:spacing w:after="20"/>
              <w:jc w:val="center"/>
              <w:rPr>
                <w:rFonts w:ascii="Verdana" w:hAnsi="Verdana"/>
                <w:b/>
                <w:sz w:val="20"/>
              </w:rPr>
            </w:pPr>
            <w:r>
              <w:rPr>
                <w:szCs w:val="24"/>
              </w:rPr>
              <w:t>Srovnání Č</w:t>
            </w:r>
            <w:r w:rsidR="00A40177" w:rsidRPr="00A40177">
              <w:rPr>
                <w:szCs w:val="24"/>
              </w:rPr>
              <w:t>eské republiky a Polska ve vybraných ukazatelích zaměstnanosti a nezaměstnanosti za zvolené období</w:t>
            </w:r>
          </w:p>
        </w:tc>
      </w:tr>
    </w:tbl>
    <w:p w14:paraId="59B61DE2" w14:textId="77777777" w:rsidR="00A37998" w:rsidRPr="00120E84" w:rsidRDefault="00A37998" w:rsidP="00625F4B">
      <w:pPr>
        <w:spacing w:after="20"/>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A37998" w:rsidRPr="00120E84" w14:paraId="731D73AC" w14:textId="77777777" w:rsidTr="00691F1F">
        <w:tc>
          <w:tcPr>
            <w:tcW w:w="9212" w:type="dxa"/>
            <w:shd w:val="clear" w:color="auto" w:fill="F3F3F3"/>
          </w:tcPr>
          <w:p w14:paraId="3AA550E7" w14:textId="77777777" w:rsidR="00A37998" w:rsidRPr="00120E84" w:rsidRDefault="00A37998" w:rsidP="00625F4B">
            <w:pPr>
              <w:spacing w:after="20"/>
              <w:jc w:val="center"/>
              <w:rPr>
                <w:rFonts w:ascii="Verdana" w:hAnsi="Verdana"/>
                <w:b/>
                <w:bCs/>
                <w:sz w:val="20"/>
              </w:rPr>
            </w:pPr>
            <w:r w:rsidRPr="00120E84">
              <w:rPr>
                <w:rFonts w:ascii="Verdana" w:hAnsi="Verdana"/>
                <w:b/>
                <w:sz w:val="20"/>
              </w:rPr>
              <w:t>STUDIJNÍ modul / Seminární blok</w:t>
            </w:r>
          </w:p>
        </w:tc>
      </w:tr>
      <w:tr w:rsidR="00A37998" w:rsidRPr="00120E84" w14:paraId="727A8EF8" w14:textId="77777777" w:rsidTr="00691F1F">
        <w:tc>
          <w:tcPr>
            <w:tcW w:w="9212" w:type="dxa"/>
          </w:tcPr>
          <w:p w14:paraId="4BEB91CF" w14:textId="77777777" w:rsidR="00A37998" w:rsidRPr="00120E84" w:rsidRDefault="00A37998" w:rsidP="00625F4B">
            <w:pPr>
              <w:spacing w:after="20"/>
              <w:rPr>
                <w:rFonts w:ascii="Verdana" w:hAnsi="Verdana"/>
                <w:b/>
                <w:bCs/>
                <w:sz w:val="20"/>
              </w:rPr>
            </w:pPr>
          </w:p>
          <w:p w14:paraId="274583A6" w14:textId="77777777" w:rsidR="00D80B55" w:rsidRDefault="00961541" w:rsidP="00E27466">
            <w:pPr>
              <w:spacing w:after="20"/>
              <w:jc w:val="center"/>
              <w:rPr>
                <w:szCs w:val="24"/>
              </w:rPr>
            </w:pPr>
            <w:r w:rsidRPr="00BE739C">
              <w:rPr>
                <w:szCs w:val="24"/>
              </w:rPr>
              <w:t>Manažerská ekonomie / seminární blok 1</w:t>
            </w:r>
          </w:p>
          <w:p w14:paraId="30D83BCA" w14:textId="77777777" w:rsidR="0008080E" w:rsidRPr="00997489" w:rsidRDefault="0008080E" w:rsidP="00625F4B">
            <w:pPr>
              <w:spacing w:after="20"/>
              <w:rPr>
                <w:szCs w:val="24"/>
              </w:rPr>
            </w:pPr>
          </w:p>
        </w:tc>
      </w:tr>
    </w:tbl>
    <w:p w14:paraId="62CBB115" w14:textId="77777777" w:rsidR="00A37998" w:rsidRPr="00120E84" w:rsidRDefault="00A37998" w:rsidP="00625F4B">
      <w:pPr>
        <w:spacing w:after="20"/>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A37998" w:rsidRPr="00120E84" w14:paraId="57A4ACBD" w14:textId="77777777" w:rsidTr="00691F1F">
        <w:tc>
          <w:tcPr>
            <w:tcW w:w="9212" w:type="dxa"/>
            <w:shd w:val="clear" w:color="auto" w:fill="F3F3F3"/>
          </w:tcPr>
          <w:p w14:paraId="3B556F89" w14:textId="77777777" w:rsidR="00A37998" w:rsidRPr="00120E84" w:rsidRDefault="00120E84" w:rsidP="00625F4B">
            <w:pPr>
              <w:spacing w:after="20"/>
              <w:jc w:val="center"/>
              <w:rPr>
                <w:rFonts w:ascii="Verdana" w:hAnsi="Verdana"/>
                <w:b/>
                <w:sz w:val="20"/>
              </w:rPr>
            </w:pPr>
            <w:r>
              <w:rPr>
                <w:rFonts w:ascii="Verdana" w:hAnsi="Verdana"/>
                <w:b/>
                <w:sz w:val="20"/>
              </w:rPr>
              <w:t xml:space="preserve">JMÉNO </w:t>
            </w:r>
            <w:r w:rsidR="00A37998" w:rsidRPr="00120E84">
              <w:rPr>
                <w:rFonts w:ascii="Verdana" w:hAnsi="Verdana"/>
                <w:b/>
                <w:sz w:val="20"/>
              </w:rPr>
              <w:t>A PŘÍJMENÍ STUDENTA / studijní skupina</w:t>
            </w:r>
          </w:p>
        </w:tc>
      </w:tr>
      <w:tr w:rsidR="00A37998" w:rsidRPr="00120E84" w14:paraId="3BFE3050" w14:textId="77777777" w:rsidTr="00691F1F">
        <w:tc>
          <w:tcPr>
            <w:tcW w:w="9212" w:type="dxa"/>
          </w:tcPr>
          <w:p w14:paraId="6383C3EC" w14:textId="77777777" w:rsidR="00A37998" w:rsidRPr="00120E84" w:rsidRDefault="00A37998" w:rsidP="00625F4B">
            <w:pPr>
              <w:spacing w:after="20"/>
              <w:rPr>
                <w:rFonts w:ascii="Verdana" w:hAnsi="Verdana"/>
                <w:b/>
                <w:sz w:val="20"/>
              </w:rPr>
            </w:pPr>
          </w:p>
          <w:p w14:paraId="510018D6" w14:textId="18D1CAF4" w:rsidR="00120E84" w:rsidRDefault="00D45B2F" w:rsidP="00E27466">
            <w:pPr>
              <w:spacing w:after="20"/>
              <w:jc w:val="center"/>
              <w:rPr>
                <w:szCs w:val="24"/>
              </w:rPr>
            </w:pPr>
            <w:proofErr w:type="spellStart"/>
            <w:r w:rsidRPr="00D45B2F">
              <w:rPr>
                <w:szCs w:val="24"/>
                <w:highlight w:val="black"/>
              </w:rPr>
              <w:t>cccccccccccccccc</w:t>
            </w:r>
            <w:proofErr w:type="spellEnd"/>
          </w:p>
          <w:p w14:paraId="0BC5BD5C" w14:textId="77777777" w:rsidR="0008080E" w:rsidRPr="00120E84" w:rsidRDefault="0008080E" w:rsidP="00625F4B">
            <w:pPr>
              <w:spacing w:after="20"/>
              <w:rPr>
                <w:rFonts w:ascii="Verdana" w:hAnsi="Verdana"/>
                <w:b/>
                <w:bCs/>
                <w:caps/>
                <w:sz w:val="20"/>
              </w:rPr>
            </w:pPr>
          </w:p>
        </w:tc>
      </w:tr>
    </w:tbl>
    <w:p w14:paraId="21904841" w14:textId="77777777" w:rsidR="00A37998" w:rsidRPr="00120E84" w:rsidRDefault="00A37998" w:rsidP="00625F4B">
      <w:pPr>
        <w:spacing w:after="20"/>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A37998" w:rsidRPr="00120E84" w14:paraId="5EC13546" w14:textId="77777777" w:rsidTr="00691F1F">
        <w:tc>
          <w:tcPr>
            <w:tcW w:w="9212" w:type="dxa"/>
            <w:shd w:val="clear" w:color="auto" w:fill="F3F3F3"/>
          </w:tcPr>
          <w:p w14:paraId="37309B43" w14:textId="77777777" w:rsidR="00A37998" w:rsidRPr="00120E84" w:rsidRDefault="00A37998" w:rsidP="00625F4B">
            <w:pPr>
              <w:spacing w:after="20"/>
              <w:jc w:val="center"/>
              <w:rPr>
                <w:rFonts w:ascii="Verdana" w:hAnsi="Verdana"/>
                <w:b/>
                <w:sz w:val="20"/>
              </w:rPr>
            </w:pPr>
            <w:r w:rsidRPr="00120E84">
              <w:rPr>
                <w:rFonts w:ascii="Verdana" w:hAnsi="Verdana"/>
                <w:b/>
                <w:sz w:val="20"/>
              </w:rPr>
              <w:t>KATEDRA</w:t>
            </w:r>
          </w:p>
        </w:tc>
      </w:tr>
      <w:tr w:rsidR="00A37998" w:rsidRPr="00120E84" w14:paraId="3DFE2796" w14:textId="77777777" w:rsidTr="00691F1F">
        <w:tc>
          <w:tcPr>
            <w:tcW w:w="9212" w:type="dxa"/>
          </w:tcPr>
          <w:p w14:paraId="3525B9C3" w14:textId="77777777" w:rsidR="00961541" w:rsidRDefault="00961541" w:rsidP="00625F4B">
            <w:pPr>
              <w:spacing w:after="20"/>
              <w:rPr>
                <w:rFonts w:ascii="Verdana" w:hAnsi="Verdana"/>
                <w:b/>
                <w:bCs/>
                <w:caps/>
                <w:sz w:val="20"/>
              </w:rPr>
            </w:pPr>
          </w:p>
          <w:p w14:paraId="035446EF" w14:textId="77777777" w:rsidR="00A37998" w:rsidRDefault="00961541" w:rsidP="00E27466">
            <w:pPr>
              <w:spacing w:after="20"/>
              <w:jc w:val="center"/>
              <w:rPr>
                <w:szCs w:val="24"/>
              </w:rPr>
            </w:pPr>
            <w:r w:rsidRPr="00BE739C">
              <w:rPr>
                <w:szCs w:val="24"/>
              </w:rPr>
              <w:t>Lidských zdrojů</w:t>
            </w:r>
          </w:p>
          <w:p w14:paraId="5331F12D" w14:textId="77777777" w:rsidR="0008080E" w:rsidRPr="00120E84" w:rsidRDefault="0008080E" w:rsidP="00625F4B">
            <w:pPr>
              <w:spacing w:after="20"/>
              <w:rPr>
                <w:rFonts w:ascii="Verdana" w:hAnsi="Verdana"/>
                <w:b/>
                <w:bCs/>
                <w:caps/>
                <w:sz w:val="20"/>
              </w:rPr>
            </w:pPr>
          </w:p>
        </w:tc>
      </w:tr>
    </w:tbl>
    <w:p w14:paraId="5A4186F9" w14:textId="77777777" w:rsidR="00F974E5" w:rsidRPr="00120E84" w:rsidRDefault="00F974E5" w:rsidP="00625F4B">
      <w:pPr>
        <w:spacing w:after="20"/>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A37998" w:rsidRPr="00120E84" w14:paraId="27BC7876" w14:textId="77777777" w:rsidTr="00691F1F">
        <w:tc>
          <w:tcPr>
            <w:tcW w:w="9212" w:type="dxa"/>
            <w:shd w:val="clear" w:color="auto" w:fill="F3F3F3"/>
          </w:tcPr>
          <w:p w14:paraId="1EE3E45D" w14:textId="77777777" w:rsidR="00A37998" w:rsidRPr="00120E84" w:rsidRDefault="00120E84" w:rsidP="00625F4B">
            <w:pPr>
              <w:spacing w:after="20"/>
              <w:jc w:val="center"/>
              <w:rPr>
                <w:rFonts w:ascii="Verdana" w:hAnsi="Verdana"/>
                <w:b/>
                <w:sz w:val="20"/>
              </w:rPr>
            </w:pPr>
            <w:r>
              <w:rPr>
                <w:rFonts w:ascii="Verdana" w:hAnsi="Verdana"/>
                <w:b/>
                <w:sz w:val="20"/>
              </w:rPr>
              <w:t>POZNÁMKY A PŘÍPOMÍNKY</w:t>
            </w:r>
          </w:p>
        </w:tc>
      </w:tr>
      <w:tr w:rsidR="00A37998" w:rsidRPr="00120E84" w14:paraId="0C97FA88" w14:textId="77777777" w:rsidTr="00691F1F">
        <w:tc>
          <w:tcPr>
            <w:tcW w:w="9212" w:type="dxa"/>
          </w:tcPr>
          <w:p w14:paraId="046614F2" w14:textId="77777777" w:rsidR="00961541" w:rsidRDefault="00961541" w:rsidP="00625F4B">
            <w:pPr>
              <w:spacing w:after="20"/>
              <w:rPr>
                <w:szCs w:val="24"/>
              </w:rPr>
            </w:pPr>
          </w:p>
          <w:p w14:paraId="5B3E45BB" w14:textId="77777777" w:rsidR="0008080E" w:rsidRDefault="0008080E" w:rsidP="00625F4B">
            <w:pPr>
              <w:spacing w:after="20"/>
              <w:rPr>
                <w:szCs w:val="24"/>
              </w:rPr>
            </w:pPr>
          </w:p>
          <w:p w14:paraId="7F05EB26" w14:textId="77777777" w:rsidR="0008080E" w:rsidRDefault="0008080E" w:rsidP="00625F4B">
            <w:pPr>
              <w:spacing w:after="20"/>
              <w:rPr>
                <w:szCs w:val="24"/>
              </w:rPr>
            </w:pPr>
          </w:p>
          <w:p w14:paraId="211B174E" w14:textId="77777777" w:rsidR="00A37998" w:rsidRDefault="00961541" w:rsidP="00E27466">
            <w:pPr>
              <w:spacing w:after="20"/>
              <w:jc w:val="center"/>
              <w:rPr>
                <w:szCs w:val="24"/>
              </w:rPr>
            </w:pPr>
            <w:r w:rsidRPr="00BE739C">
              <w:rPr>
                <w:szCs w:val="24"/>
              </w:rPr>
              <w:t>K</w:t>
            </w:r>
            <w:r>
              <w:rPr>
                <w:szCs w:val="24"/>
              </w:rPr>
              <w:t> této seminární práce nejsou</w:t>
            </w:r>
            <w:r w:rsidRPr="00BE739C">
              <w:rPr>
                <w:szCs w:val="24"/>
              </w:rPr>
              <w:t xml:space="preserve"> žádné poznámky ani připomínky.</w:t>
            </w:r>
          </w:p>
          <w:p w14:paraId="2759C09D" w14:textId="77777777" w:rsidR="0008080E" w:rsidRDefault="0008080E" w:rsidP="00625F4B">
            <w:pPr>
              <w:spacing w:after="20"/>
              <w:rPr>
                <w:szCs w:val="24"/>
              </w:rPr>
            </w:pPr>
          </w:p>
          <w:p w14:paraId="393F0022" w14:textId="77777777" w:rsidR="0008080E" w:rsidRDefault="0008080E" w:rsidP="00625F4B">
            <w:pPr>
              <w:spacing w:after="20"/>
              <w:rPr>
                <w:szCs w:val="24"/>
              </w:rPr>
            </w:pPr>
          </w:p>
          <w:p w14:paraId="40F4DB90" w14:textId="77777777" w:rsidR="00997489" w:rsidRPr="00997489" w:rsidRDefault="00997489" w:rsidP="00625F4B">
            <w:pPr>
              <w:spacing w:after="20"/>
              <w:rPr>
                <w:szCs w:val="24"/>
              </w:rPr>
            </w:pPr>
          </w:p>
        </w:tc>
      </w:tr>
    </w:tbl>
    <w:p w14:paraId="3D72F75E" w14:textId="77777777" w:rsidR="00A37998" w:rsidRPr="00120E84" w:rsidRDefault="00A37998" w:rsidP="00625F4B">
      <w:pPr>
        <w:spacing w:after="20"/>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A37998" w:rsidRPr="00120E84" w14:paraId="5AA1AE44" w14:textId="77777777" w:rsidTr="00691F1F">
        <w:tc>
          <w:tcPr>
            <w:tcW w:w="8644" w:type="dxa"/>
            <w:shd w:val="clear" w:color="auto" w:fill="F3F3F3"/>
          </w:tcPr>
          <w:p w14:paraId="7E88A151" w14:textId="77777777" w:rsidR="00A37998" w:rsidRPr="00120E84" w:rsidRDefault="00A37998" w:rsidP="00625F4B">
            <w:pPr>
              <w:spacing w:after="20"/>
              <w:jc w:val="center"/>
              <w:rPr>
                <w:rFonts w:ascii="Verdana" w:hAnsi="Verdana"/>
                <w:b/>
                <w:sz w:val="20"/>
              </w:rPr>
            </w:pPr>
            <w:r w:rsidRPr="00120E84">
              <w:rPr>
                <w:rFonts w:ascii="Verdana" w:hAnsi="Verdana"/>
                <w:b/>
                <w:sz w:val="20"/>
              </w:rPr>
              <w:t>PROHLÁŠENÍ STUDENTA</w:t>
            </w:r>
          </w:p>
        </w:tc>
      </w:tr>
      <w:tr w:rsidR="00A37998" w:rsidRPr="00120E84" w14:paraId="1B7DB9C6" w14:textId="77777777" w:rsidTr="00691F1F">
        <w:tc>
          <w:tcPr>
            <w:tcW w:w="8644" w:type="dxa"/>
          </w:tcPr>
          <w:p w14:paraId="07A73AB4" w14:textId="77777777" w:rsidR="00A37998" w:rsidRPr="00120E84" w:rsidRDefault="00A37998" w:rsidP="00625F4B">
            <w:pPr>
              <w:spacing w:after="20"/>
              <w:rPr>
                <w:rFonts w:ascii="Verdana" w:hAnsi="Verdana"/>
                <w:b/>
                <w:sz w:val="20"/>
              </w:rPr>
            </w:pPr>
          </w:p>
          <w:p w14:paraId="3583B042" w14:textId="77777777" w:rsidR="00A37998" w:rsidRPr="00FF2756" w:rsidRDefault="00A37998" w:rsidP="00625F4B">
            <w:pPr>
              <w:spacing w:after="20"/>
              <w:rPr>
                <w:szCs w:val="24"/>
              </w:rPr>
            </w:pPr>
            <w:r w:rsidRPr="00FF2756">
              <w:rPr>
                <w:szCs w:val="24"/>
              </w:rPr>
              <w:t>Prohlašuji tímto, že uvedená seminární práce je mnou vypracována samostatně, a že ke zpracování této seminární práce bylo použito pouze literárních pramenů v práci uvedených.</w:t>
            </w:r>
          </w:p>
          <w:p w14:paraId="180D958B" w14:textId="77777777" w:rsidR="00A37998" w:rsidRPr="00FF2756" w:rsidRDefault="00A37998" w:rsidP="00625F4B">
            <w:pPr>
              <w:spacing w:after="20"/>
              <w:rPr>
                <w:szCs w:val="24"/>
              </w:rPr>
            </w:pPr>
          </w:p>
          <w:p w14:paraId="5C2EA67F" w14:textId="6F4029C1" w:rsidR="00A37998" w:rsidRPr="00FF2756" w:rsidRDefault="00A37998" w:rsidP="00625F4B">
            <w:pPr>
              <w:spacing w:after="20"/>
              <w:rPr>
                <w:szCs w:val="24"/>
              </w:rPr>
            </w:pPr>
            <w:r w:rsidRPr="00FF2756">
              <w:rPr>
                <w:szCs w:val="24"/>
              </w:rPr>
              <w:t xml:space="preserve">Datum a místo:  </w:t>
            </w:r>
            <w:r w:rsidR="00536C5C">
              <w:rPr>
                <w:szCs w:val="24"/>
              </w:rPr>
              <w:t>V Praze dne 27</w:t>
            </w:r>
            <w:r w:rsidR="00A40177" w:rsidRPr="00FF2756">
              <w:rPr>
                <w:szCs w:val="24"/>
              </w:rPr>
              <w:t>.12.2014</w:t>
            </w:r>
          </w:p>
          <w:p w14:paraId="04B64E67" w14:textId="601F679F" w:rsidR="0008080E" w:rsidRPr="00D45B2F" w:rsidRDefault="00961541" w:rsidP="00625F4B">
            <w:pPr>
              <w:spacing w:after="20"/>
              <w:rPr>
                <w:szCs w:val="24"/>
              </w:rPr>
            </w:pPr>
            <w:r w:rsidRPr="00FF2756">
              <w:rPr>
                <w:szCs w:val="24"/>
              </w:rPr>
              <w:t xml:space="preserve">                                                                     </w:t>
            </w:r>
            <w:r w:rsidR="00FF2756">
              <w:rPr>
                <w:szCs w:val="24"/>
              </w:rPr>
              <w:t xml:space="preserve">             </w:t>
            </w:r>
            <w:proofErr w:type="spellStart"/>
            <w:r w:rsidR="00D45B2F" w:rsidRPr="00D45B2F">
              <w:rPr>
                <w:szCs w:val="24"/>
                <w:highlight w:val="black"/>
              </w:rPr>
              <w:t>ccccccccccc</w:t>
            </w:r>
            <w:proofErr w:type="spellEnd"/>
          </w:p>
          <w:p w14:paraId="60EA66FC" w14:textId="77777777" w:rsidR="00A37998" w:rsidRPr="00120E84" w:rsidRDefault="00A37998" w:rsidP="00625F4B">
            <w:pPr>
              <w:spacing w:after="20"/>
              <w:rPr>
                <w:rFonts w:ascii="Verdana" w:hAnsi="Verdana"/>
                <w:b/>
                <w:sz w:val="20"/>
              </w:rPr>
            </w:pPr>
          </w:p>
        </w:tc>
      </w:tr>
      <w:tr w:rsidR="00A37998" w:rsidRPr="00120E84" w14:paraId="35B49F9D" w14:textId="77777777" w:rsidTr="00691F1F">
        <w:tblPrEx>
          <w:tblLook w:val="04A0" w:firstRow="1" w:lastRow="0" w:firstColumn="1" w:lastColumn="0" w:noHBand="0" w:noVBand="1"/>
        </w:tblPrEx>
        <w:tc>
          <w:tcPr>
            <w:tcW w:w="8644" w:type="dxa"/>
            <w:tcBorders>
              <w:top w:val="single" w:sz="4" w:space="0" w:color="auto"/>
              <w:left w:val="single" w:sz="4" w:space="0" w:color="auto"/>
              <w:bottom w:val="single" w:sz="4" w:space="0" w:color="auto"/>
              <w:right w:val="single" w:sz="4" w:space="0" w:color="auto"/>
            </w:tcBorders>
            <w:shd w:val="clear" w:color="auto" w:fill="F3F3F3"/>
          </w:tcPr>
          <w:p w14:paraId="414CADCE" w14:textId="77777777" w:rsidR="00A37998" w:rsidRPr="00656C0F" w:rsidRDefault="00D80B55" w:rsidP="00625F4B">
            <w:pPr>
              <w:spacing w:after="20"/>
              <w:jc w:val="center"/>
              <w:rPr>
                <w:b/>
                <w:sz w:val="20"/>
              </w:rPr>
            </w:pPr>
            <w:r w:rsidRPr="00120E84">
              <w:rPr>
                <w:rFonts w:ascii="Verdana" w:hAnsi="Verdana"/>
                <w:b/>
                <w:sz w:val="20"/>
              </w:rPr>
              <w:br w:type="page"/>
            </w:r>
            <w:r w:rsidR="00A37998" w:rsidRPr="00120E84">
              <w:rPr>
                <w:rFonts w:ascii="Verdana" w:hAnsi="Verdana"/>
                <w:b/>
                <w:sz w:val="20"/>
              </w:rPr>
              <w:br w:type="page"/>
            </w:r>
          </w:p>
        </w:tc>
      </w:tr>
      <w:tr w:rsidR="00A37998" w:rsidRPr="00120E84" w14:paraId="5A29FDAB" w14:textId="77777777" w:rsidTr="00B048B7">
        <w:tblPrEx>
          <w:tblLook w:val="04A0" w:firstRow="1" w:lastRow="0" w:firstColumn="1" w:lastColumn="0" w:noHBand="0" w:noVBand="1"/>
        </w:tblPrEx>
        <w:trPr>
          <w:trHeight w:val="1459"/>
        </w:trPr>
        <w:tc>
          <w:tcPr>
            <w:tcW w:w="8644" w:type="dxa"/>
            <w:tcBorders>
              <w:top w:val="single" w:sz="4" w:space="0" w:color="auto"/>
              <w:left w:val="single" w:sz="4" w:space="0" w:color="auto"/>
              <w:bottom w:val="single" w:sz="4" w:space="0" w:color="auto"/>
              <w:right w:val="single" w:sz="4" w:space="0" w:color="auto"/>
            </w:tcBorders>
          </w:tcPr>
          <w:p w14:paraId="6D5C1376" w14:textId="77777777" w:rsidR="005B3D26" w:rsidRDefault="00A37998" w:rsidP="00625F4B">
            <w:pPr>
              <w:numPr>
                <w:ilvl w:val="0"/>
                <w:numId w:val="5"/>
              </w:numPr>
              <w:spacing w:after="20"/>
              <w:ind w:left="360"/>
              <w:jc w:val="left"/>
              <w:rPr>
                <w:b/>
                <w:sz w:val="22"/>
                <w:szCs w:val="22"/>
                <w:lang w:eastAsia="en-US"/>
              </w:rPr>
            </w:pPr>
            <w:r w:rsidRPr="0069514D">
              <w:rPr>
                <w:rFonts w:ascii="Verdana" w:hAnsi="Verdana"/>
                <w:b/>
                <w:sz w:val="22"/>
                <w:szCs w:val="22"/>
                <w:lang w:eastAsia="en-US"/>
              </w:rPr>
              <w:t>Cíl práce:</w:t>
            </w:r>
            <w:r w:rsidR="00961541" w:rsidRPr="0069514D">
              <w:rPr>
                <w:rFonts w:ascii="Verdana" w:hAnsi="Verdana"/>
                <w:b/>
                <w:sz w:val="22"/>
                <w:szCs w:val="22"/>
                <w:lang w:eastAsia="en-US"/>
              </w:rPr>
              <w:t xml:space="preserve"> </w:t>
            </w:r>
            <w:r w:rsidR="00961541" w:rsidRPr="0069514D">
              <w:rPr>
                <w:b/>
                <w:sz w:val="22"/>
                <w:szCs w:val="22"/>
                <w:lang w:eastAsia="en-US"/>
              </w:rPr>
              <w:t xml:space="preserve">: </w:t>
            </w:r>
          </w:p>
          <w:p w14:paraId="00639660" w14:textId="77777777" w:rsidR="005B3D26" w:rsidRDefault="005B3D26" w:rsidP="00625F4B">
            <w:pPr>
              <w:spacing w:after="20"/>
              <w:ind w:left="360"/>
              <w:jc w:val="left"/>
              <w:rPr>
                <w:b/>
                <w:sz w:val="22"/>
                <w:szCs w:val="22"/>
                <w:lang w:eastAsia="en-US"/>
              </w:rPr>
            </w:pPr>
          </w:p>
          <w:p w14:paraId="078C81C6" w14:textId="78CAA027" w:rsidR="0008080E" w:rsidRPr="005B3D26" w:rsidRDefault="00961541" w:rsidP="00625F4B">
            <w:pPr>
              <w:spacing w:after="20"/>
              <w:jc w:val="left"/>
              <w:rPr>
                <w:b/>
                <w:sz w:val="22"/>
                <w:szCs w:val="22"/>
                <w:lang w:eastAsia="en-US"/>
              </w:rPr>
            </w:pPr>
            <w:r w:rsidRPr="005B3D26">
              <w:rPr>
                <w:szCs w:val="24"/>
                <w:lang w:eastAsia="en-US"/>
              </w:rPr>
              <w:t>Cílem této semin</w:t>
            </w:r>
            <w:r w:rsidR="00A53EEF">
              <w:rPr>
                <w:szCs w:val="24"/>
                <w:lang w:eastAsia="en-US"/>
              </w:rPr>
              <w:t>ární práce je co nejobj</w:t>
            </w:r>
            <w:r w:rsidR="0095297E">
              <w:rPr>
                <w:szCs w:val="24"/>
                <w:lang w:eastAsia="en-US"/>
              </w:rPr>
              <w:t>ektivnější</w:t>
            </w:r>
            <w:r w:rsidR="00A53EEF">
              <w:rPr>
                <w:szCs w:val="24"/>
                <w:lang w:eastAsia="en-US"/>
              </w:rPr>
              <w:t xml:space="preserve"> zhodnocení  dvou zemí Evropské unie- </w:t>
            </w:r>
            <w:r w:rsidR="00A40177" w:rsidRPr="005B3D26">
              <w:rPr>
                <w:szCs w:val="24"/>
                <w:lang w:eastAsia="en-US"/>
              </w:rPr>
              <w:t>České</w:t>
            </w:r>
            <w:r w:rsidR="00E27466">
              <w:rPr>
                <w:szCs w:val="24"/>
                <w:lang w:eastAsia="en-US"/>
              </w:rPr>
              <w:t xml:space="preserve"> republiky</w:t>
            </w:r>
            <w:r w:rsidR="00A40177" w:rsidRPr="005B3D26">
              <w:rPr>
                <w:szCs w:val="24"/>
                <w:lang w:eastAsia="en-US"/>
              </w:rPr>
              <w:t xml:space="preserve"> a Polska ve vybraných ukazatelích zaměstnanosti a nezaměstnanosti</w:t>
            </w:r>
            <w:r w:rsidRPr="005B3D26">
              <w:rPr>
                <w:szCs w:val="24"/>
                <w:lang w:eastAsia="en-US"/>
              </w:rPr>
              <w:t xml:space="preserve">. </w:t>
            </w:r>
            <w:r w:rsidR="00A40177" w:rsidRPr="005B3D26">
              <w:rPr>
                <w:szCs w:val="24"/>
                <w:lang w:eastAsia="en-US"/>
              </w:rPr>
              <w:t xml:space="preserve">K dosažení hlavního cíle byly stanoveny tyto dílčí cíle: </w:t>
            </w:r>
          </w:p>
          <w:p w14:paraId="345B3271" w14:textId="674A6BF7" w:rsidR="00A40177" w:rsidRPr="00A40177" w:rsidRDefault="00A40177" w:rsidP="00625F4B">
            <w:pPr>
              <w:spacing w:after="20"/>
              <w:rPr>
                <w:szCs w:val="24"/>
                <w:lang w:eastAsia="en-US"/>
              </w:rPr>
            </w:pPr>
            <w:r w:rsidRPr="00A40177">
              <w:rPr>
                <w:szCs w:val="24"/>
                <w:lang w:eastAsia="en-US"/>
              </w:rPr>
              <w:t>- obecné</w:t>
            </w:r>
            <w:r w:rsidR="0008080E">
              <w:rPr>
                <w:szCs w:val="24"/>
                <w:lang w:eastAsia="en-US"/>
              </w:rPr>
              <w:t>, objektivní</w:t>
            </w:r>
            <w:r w:rsidRPr="00A40177">
              <w:rPr>
                <w:szCs w:val="24"/>
                <w:lang w:eastAsia="en-US"/>
              </w:rPr>
              <w:t xml:space="preserve"> srovnání obou zemí v teoretické části, podle </w:t>
            </w:r>
            <w:r w:rsidR="0008080E">
              <w:rPr>
                <w:szCs w:val="24"/>
                <w:lang w:eastAsia="en-US"/>
              </w:rPr>
              <w:t xml:space="preserve">dostupných informací v současné </w:t>
            </w:r>
            <w:r w:rsidRPr="00A40177">
              <w:rPr>
                <w:szCs w:val="24"/>
                <w:lang w:eastAsia="en-US"/>
              </w:rPr>
              <w:t>literatuře;</w:t>
            </w:r>
          </w:p>
          <w:p w14:paraId="29AAF308" w14:textId="2D1CE256" w:rsidR="00A40177" w:rsidRDefault="00A40177" w:rsidP="00625F4B">
            <w:pPr>
              <w:spacing w:after="20"/>
              <w:rPr>
                <w:szCs w:val="24"/>
                <w:lang w:eastAsia="en-US"/>
              </w:rPr>
            </w:pPr>
            <w:r>
              <w:rPr>
                <w:szCs w:val="24"/>
                <w:lang w:eastAsia="en-US"/>
              </w:rPr>
              <w:t>- výběr relevantních ukazatelů trhu práce a srovnání obou zemí</w:t>
            </w:r>
            <w:r w:rsidR="00A53EEF">
              <w:rPr>
                <w:szCs w:val="24"/>
                <w:lang w:eastAsia="en-US"/>
              </w:rPr>
              <w:t xml:space="preserve"> dle ukazatelů EUROSTAT</w:t>
            </w:r>
            <w:r>
              <w:rPr>
                <w:szCs w:val="24"/>
                <w:lang w:eastAsia="en-US"/>
              </w:rPr>
              <w:t>;</w:t>
            </w:r>
          </w:p>
          <w:p w14:paraId="1E3A4A45" w14:textId="0D8F4039" w:rsidR="00A37998" w:rsidRDefault="00A53EEF" w:rsidP="00625F4B">
            <w:pPr>
              <w:spacing w:after="20"/>
              <w:rPr>
                <w:szCs w:val="24"/>
                <w:lang w:eastAsia="en-US"/>
              </w:rPr>
            </w:pPr>
            <w:r>
              <w:rPr>
                <w:szCs w:val="24"/>
                <w:lang w:eastAsia="en-US"/>
              </w:rPr>
              <w:t>-</w:t>
            </w:r>
            <w:r w:rsidR="00A40177">
              <w:rPr>
                <w:szCs w:val="24"/>
                <w:lang w:eastAsia="en-US"/>
              </w:rPr>
              <w:t xml:space="preserve"> zhodnocení výsledků</w:t>
            </w:r>
            <w:r>
              <w:rPr>
                <w:szCs w:val="24"/>
                <w:lang w:eastAsia="en-US"/>
              </w:rPr>
              <w:t xml:space="preserve"> a doporučení řešení a postupů pro zlepšení hospodářsko-politické situace </w:t>
            </w:r>
          </w:p>
          <w:p w14:paraId="3D3FF86B" w14:textId="77777777" w:rsidR="0008080E" w:rsidRPr="00A40177" w:rsidRDefault="0008080E" w:rsidP="00625F4B">
            <w:pPr>
              <w:spacing w:after="20"/>
              <w:jc w:val="left"/>
              <w:rPr>
                <w:szCs w:val="24"/>
                <w:lang w:eastAsia="en-US"/>
              </w:rPr>
            </w:pPr>
          </w:p>
        </w:tc>
      </w:tr>
      <w:tr w:rsidR="00A37998" w:rsidRPr="00120E84" w14:paraId="772275FC" w14:textId="77777777" w:rsidTr="00997489">
        <w:tblPrEx>
          <w:tblLook w:val="04A0" w:firstRow="1" w:lastRow="0" w:firstColumn="1" w:lastColumn="0" w:noHBand="0" w:noVBand="1"/>
        </w:tblPrEx>
        <w:trPr>
          <w:trHeight w:val="1611"/>
        </w:trPr>
        <w:tc>
          <w:tcPr>
            <w:tcW w:w="8644" w:type="dxa"/>
            <w:tcBorders>
              <w:top w:val="single" w:sz="4" w:space="0" w:color="auto"/>
              <w:left w:val="single" w:sz="4" w:space="0" w:color="auto"/>
              <w:bottom w:val="single" w:sz="4" w:space="0" w:color="auto"/>
              <w:right w:val="single" w:sz="4" w:space="0" w:color="auto"/>
            </w:tcBorders>
          </w:tcPr>
          <w:p w14:paraId="17F574B9" w14:textId="77777777" w:rsidR="00FF2756" w:rsidRPr="0069514D" w:rsidRDefault="00A37998" w:rsidP="00625F4B">
            <w:pPr>
              <w:numPr>
                <w:ilvl w:val="0"/>
                <w:numId w:val="5"/>
              </w:numPr>
              <w:spacing w:after="20"/>
              <w:ind w:left="360"/>
              <w:jc w:val="left"/>
              <w:rPr>
                <w:b/>
                <w:sz w:val="22"/>
                <w:szCs w:val="22"/>
                <w:lang w:eastAsia="en-US"/>
              </w:rPr>
            </w:pPr>
            <w:r w:rsidRPr="0069514D">
              <w:rPr>
                <w:rFonts w:ascii="Verdana" w:hAnsi="Verdana"/>
                <w:b/>
                <w:sz w:val="22"/>
                <w:szCs w:val="22"/>
                <w:lang w:eastAsia="en-US"/>
              </w:rPr>
              <w:t>Výzkumné metody:</w:t>
            </w:r>
            <w:r w:rsidR="00A40177" w:rsidRPr="0069514D">
              <w:rPr>
                <w:rFonts w:ascii="Verdana" w:hAnsi="Verdana"/>
                <w:b/>
                <w:sz w:val="22"/>
                <w:szCs w:val="22"/>
                <w:lang w:eastAsia="en-US"/>
              </w:rPr>
              <w:t xml:space="preserve"> </w:t>
            </w:r>
          </w:p>
          <w:p w14:paraId="3E8B8A64" w14:textId="77777777" w:rsidR="0008080E" w:rsidRPr="00FF2756" w:rsidRDefault="0008080E" w:rsidP="00625F4B">
            <w:pPr>
              <w:spacing w:after="20"/>
              <w:ind w:left="360"/>
              <w:jc w:val="left"/>
              <w:rPr>
                <w:b/>
                <w:szCs w:val="24"/>
                <w:lang w:eastAsia="en-US"/>
              </w:rPr>
            </w:pPr>
          </w:p>
          <w:p w14:paraId="0A48E61D" w14:textId="77777777" w:rsidR="00A37998" w:rsidRDefault="00A40177" w:rsidP="00625F4B">
            <w:pPr>
              <w:spacing w:after="20"/>
              <w:rPr>
                <w:szCs w:val="24"/>
                <w:lang w:eastAsia="en-US"/>
              </w:rPr>
            </w:pPr>
            <w:r w:rsidRPr="00FF2756">
              <w:rPr>
                <w:szCs w:val="24"/>
                <w:lang w:eastAsia="en-US"/>
              </w:rPr>
              <w:t xml:space="preserve">Hlavní </w:t>
            </w:r>
            <w:r w:rsidR="00961541" w:rsidRPr="00FF2756">
              <w:rPr>
                <w:szCs w:val="24"/>
                <w:lang w:eastAsia="en-US"/>
              </w:rPr>
              <w:t xml:space="preserve">výzkumná metoda, byla použita metoda komparace. </w:t>
            </w:r>
            <w:r w:rsidRPr="00FF2756">
              <w:rPr>
                <w:szCs w:val="24"/>
                <w:lang w:eastAsia="en-US"/>
              </w:rPr>
              <w:t>Dalším</w:t>
            </w:r>
            <w:r w:rsidR="00961541" w:rsidRPr="00FF2756">
              <w:rPr>
                <w:szCs w:val="24"/>
                <w:lang w:eastAsia="en-US"/>
              </w:rPr>
              <w:t xml:space="preserve"> zdrojem pro tuto seminární práci byl oficiální internetový zdroj Evropské komise - Eurostat. Pro přehlednost jednotlivých bodů a problematik byly na základě </w:t>
            </w:r>
            <w:r w:rsidRPr="00FF2756">
              <w:rPr>
                <w:szCs w:val="24"/>
                <w:lang w:eastAsia="en-US"/>
              </w:rPr>
              <w:t xml:space="preserve">získaných </w:t>
            </w:r>
            <w:r w:rsidR="00961541" w:rsidRPr="00FF2756">
              <w:rPr>
                <w:szCs w:val="24"/>
                <w:lang w:eastAsia="en-US"/>
              </w:rPr>
              <w:t>odborných fakt vytvořeny grafy</w:t>
            </w:r>
            <w:r w:rsidR="0008080E">
              <w:rPr>
                <w:szCs w:val="24"/>
                <w:lang w:eastAsia="en-US"/>
              </w:rPr>
              <w:t xml:space="preserve"> s vlastní úpravou. </w:t>
            </w:r>
          </w:p>
          <w:p w14:paraId="29B09A76" w14:textId="77777777" w:rsidR="005B3D26" w:rsidRPr="00997489" w:rsidRDefault="005B3D26" w:rsidP="00625F4B">
            <w:pPr>
              <w:spacing w:after="20"/>
              <w:rPr>
                <w:b/>
                <w:szCs w:val="24"/>
                <w:lang w:eastAsia="en-US"/>
              </w:rPr>
            </w:pPr>
          </w:p>
        </w:tc>
      </w:tr>
      <w:tr w:rsidR="00A37998" w:rsidRPr="00120E84" w14:paraId="0A977C22" w14:textId="77777777" w:rsidTr="00997489">
        <w:tblPrEx>
          <w:tblLook w:val="04A0" w:firstRow="1" w:lastRow="0" w:firstColumn="1" w:lastColumn="0" w:noHBand="0" w:noVBand="1"/>
        </w:tblPrEx>
        <w:trPr>
          <w:trHeight w:val="1563"/>
        </w:trPr>
        <w:tc>
          <w:tcPr>
            <w:tcW w:w="8644" w:type="dxa"/>
            <w:tcBorders>
              <w:top w:val="single" w:sz="4" w:space="0" w:color="auto"/>
              <w:left w:val="single" w:sz="4" w:space="0" w:color="auto"/>
              <w:bottom w:val="single" w:sz="4" w:space="0" w:color="auto"/>
              <w:right w:val="single" w:sz="4" w:space="0" w:color="auto"/>
            </w:tcBorders>
          </w:tcPr>
          <w:p w14:paraId="00152B94" w14:textId="77777777" w:rsidR="00A37998" w:rsidRPr="0069514D" w:rsidRDefault="00A37998" w:rsidP="00625F4B">
            <w:pPr>
              <w:numPr>
                <w:ilvl w:val="0"/>
                <w:numId w:val="5"/>
              </w:numPr>
              <w:spacing w:after="20"/>
              <w:ind w:left="360"/>
              <w:jc w:val="left"/>
              <w:rPr>
                <w:rFonts w:ascii="Verdana" w:hAnsi="Verdana"/>
                <w:b/>
                <w:sz w:val="22"/>
                <w:szCs w:val="22"/>
                <w:lang w:eastAsia="en-US"/>
              </w:rPr>
            </w:pPr>
            <w:r w:rsidRPr="0069514D">
              <w:rPr>
                <w:rFonts w:ascii="Verdana" w:hAnsi="Verdana"/>
                <w:b/>
                <w:sz w:val="22"/>
                <w:szCs w:val="22"/>
                <w:lang w:eastAsia="en-US"/>
              </w:rPr>
              <w:t>Výsledky výzkumu/práce:</w:t>
            </w:r>
            <w:r w:rsidR="00961541" w:rsidRPr="0069514D">
              <w:rPr>
                <w:rFonts w:ascii="Verdana" w:hAnsi="Verdana"/>
                <w:b/>
                <w:sz w:val="22"/>
                <w:szCs w:val="22"/>
                <w:lang w:eastAsia="en-US"/>
              </w:rPr>
              <w:t xml:space="preserve"> </w:t>
            </w:r>
            <w:r w:rsidR="00961541" w:rsidRPr="0069514D">
              <w:rPr>
                <w:b/>
                <w:sz w:val="22"/>
                <w:szCs w:val="22"/>
                <w:lang w:eastAsia="en-US"/>
              </w:rPr>
              <w:t xml:space="preserve">: </w:t>
            </w:r>
          </w:p>
          <w:p w14:paraId="473576F3" w14:textId="77777777" w:rsidR="0008080E" w:rsidRPr="0008080E" w:rsidRDefault="0008080E" w:rsidP="00625F4B">
            <w:pPr>
              <w:spacing w:after="20"/>
              <w:ind w:left="360"/>
              <w:jc w:val="left"/>
              <w:rPr>
                <w:rFonts w:ascii="Verdana" w:hAnsi="Verdana"/>
                <w:b/>
                <w:sz w:val="20"/>
                <w:lang w:eastAsia="en-US"/>
              </w:rPr>
            </w:pPr>
          </w:p>
          <w:p w14:paraId="69212C3B" w14:textId="77777777" w:rsidR="0008080E" w:rsidRDefault="0008080E" w:rsidP="00625F4B">
            <w:pPr>
              <w:spacing w:after="20"/>
              <w:rPr>
                <w:szCs w:val="24"/>
                <w:lang w:eastAsia="en-US"/>
              </w:rPr>
            </w:pPr>
            <w:r w:rsidRPr="0008080E">
              <w:rPr>
                <w:szCs w:val="24"/>
                <w:lang w:eastAsia="en-US"/>
              </w:rPr>
              <w:t>Dle zjištěných</w:t>
            </w:r>
            <w:r>
              <w:rPr>
                <w:szCs w:val="24"/>
                <w:lang w:eastAsia="en-US"/>
              </w:rPr>
              <w:t xml:space="preserve"> hodnot vybraných makroekonomických ukazatelů a strukturálních ukazatelů zaměstnanosti a nezaměstnanosti, lze Českou republiky hodnotit jako vyspělejší a výkonnější, než ekonomiku druhé srovnávané země, Polska. Česká republika má dokonce v některých ukazatelích lepší výsledky než výsledky EU (28). Lze konstatovat, že Polsko se</w:t>
            </w:r>
            <w:r w:rsidR="00E27466">
              <w:rPr>
                <w:szCs w:val="24"/>
                <w:lang w:eastAsia="en-US"/>
              </w:rPr>
              <w:t xml:space="preserve"> obecně</w:t>
            </w:r>
            <w:r>
              <w:rPr>
                <w:szCs w:val="24"/>
                <w:lang w:eastAsia="en-US"/>
              </w:rPr>
              <w:t xml:space="preserve"> potýká s</w:t>
            </w:r>
            <w:r w:rsidR="00E27466">
              <w:rPr>
                <w:szCs w:val="24"/>
                <w:lang w:eastAsia="en-US"/>
              </w:rPr>
              <w:t> </w:t>
            </w:r>
            <w:r>
              <w:rPr>
                <w:szCs w:val="24"/>
                <w:lang w:eastAsia="en-US"/>
              </w:rPr>
              <w:t>p</w:t>
            </w:r>
            <w:r w:rsidR="00E27466">
              <w:rPr>
                <w:szCs w:val="24"/>
                <w:lang w:eastAsia="en-US"/>
              </w:rPr>
              <w:t>roblémem nezaměstnanosti lidí</w:t>
            </w:r>
            <w:r>
              <w:rPr>
                <w:szCs w:val="24"/>
                <w:lang w:eastAsia="en-US"/>
              </w:rPr>
              <w:t xml:space="preserve"> a starších žen. Špatným výsledkem je také, stále větší problém </w:t>
            </w:r>
            <w:r w:rsidR="00E27466">
              <w:rPr>
                <w:szCs w:val="24"/>
                <w:lang w:eastAsia="en-US"/>
              </w:rPr>
              <w:t>ne</w:t>
            </w:r>
            <w:r>
              <w:rPr>
                <w:szCs w:val="24"/>
                <w:lang w:eastAsia="en-US"/>
              </w:rPr>
              <w:t>zaměstnanosti mladýc</w:t>
            </w:r>
            <w:r w:rsidR="00E27466">
              <w:rPr>
                <w:szCs w:val="24"/>
                <w:lang w:eastAsia="en-US"/>
              </w:rPr>
              <w:t>h lidí (15 až 24let) a to</w:t>
            </w:r>
            <w:r>
              <w:rPr>
                <w:szCs w:val="24"/>
                <w:lang w:eastAsia="en-US"/>
              </w:rPr>
              <w:t xml:space="preserve"> v obou zemích a státech EU (28)</w:t>
            </w:r>
            <w:r w:rsidR="005B3D26">
              <w:rPr>
                <w:szCs w:val="24"/>
                <w:lang w:eastAsia="en-US"/>
              </w:rPr>
              <w:t>.</w:t>
            </w:r>
          </w:p>
          <w:p w14:paraId="38AAC6C0" w14:textId="77777777" w:rsidR="0008080E" w:rsidRPr="0008080E" w:rsidRDefault="0008080E" w:rsidP="00625F4B">
            <w:pPr>
              <w:spacing w:after="20"/>
              <w:jc w:val="left"/>
              <w:rPr>
                <w:b/>
                <w:sz w:val="20"/>
                <w:lang w:eastAsia="en-US"/>
              </w:rPr>
            </w:pPr>
          </w:p>
        </w:tc>
      </w:tr>
      <w:tr w:rsidR="00A37998" w:rsidRPr="00120E84" w14:paraId="26340899" w14:textId="77777777" w:rsidTr="00997489">
        <w:tblPrEx>
          <w:tblLook w:val="04A0" w:firstRow="1" w:lastRow="0" w:firstColumn="1" w:lastColumn="0" w:noHBand="0" w:noVBand="1"/>
        </w:tblPrEx>
        <w:trPr>
          <w:trHeight w:val="1402"/>
        </w:trPr>
        <w:tc>
          <w:tcPr>
            <w:tcW w:w="8644" w:type="dxa"/>
            <w:tcBorders>
              <w:top w:val="single" w:sz="4" w:space="0" w:color="auto"/>
              <w:left w:val="single" w:sz="4" w:space="0" w:color="auto"/>
              <w:bottom w:val="single" w:sz="4" w:space="0" w:color="auto"/>
              <w:right w:val="single" w:sz="4" w:space="0" w:color="auto"/>
            </w:tcBorders>
          </w:tcPr>
          <w:p w14:paraId="7081E9A8" w14:textId="77777777" w:rsidR="00A37998" w:rsidRPr="005B3D26" w:rsidRDefault="00A37998" w:rsidP="00625F4B">
            <w:pPr>
              <w:numPr>
                <w:ilvl w:val="0"/>
                <w:numId w:val="5"/>
              </w:numPr>
              <w:spacing w:after="20"/>
              <w:ind w:left="360"/>
              <w:jc w:val="left"/>
              <w:rPr>
                <w:rFonts w:ascii="Verdana" w:hAnsi="Verdana"/>
                <w:b/>
                <w:sz w:val="22"/>
                <w:szCs w:val="22"/>
                <w:lang w:eastAsia="en-US"/>
              </w:rPr>
            </w:pPr>
            <w:r w:rsidRPr="0069514D">
              <w:rPr>
                <w:rFonts w:ascii="Verdana" w:hAnsi="Verdana"/>
                <w:b/>
                <w:sz w:val="22"/>
                <w:szCs w:val="22"/>
                <w:lang w:eastAsia="en-US"/>
              </w:rPr>
              <w:t>Závěry a doporučení:</w:t>
            </w:r>
            <w:r w:rsidR="00961541" w:rsidRPr="0069514D">
              <w:rPr>
                <w:rFonts w:ascii="Verdana" w:hAnsi="Verdana"/>
                <w:b/>
                <w:sz w:val="22"/>
                <w:szCs w:val="22"/>
                <w:lang w:eastAsia="en-US"/>
              </w:rPr>
              <w:t xml:space="preserve"> </w:t>
            </w:r>
          </w:p>
          <w:p w14:paraId="42EDD2E8" w14:textId="77777777" w:rsidR="005B3D26" w:rsidRPr="0069514D" w:rsidRDefault="005B3D26" w:rsidP="00625F4B">
            <w:pPr>
              <w:spacing w:after="20"/>
              <w:ind w:left="360"/>
              <w:jc w:val="left"/>
              <w:rPr>
                <w:rFonts w:ascii="Verdana" w:hAnsi="Verdana"/>
                <w:b/>
                <w:sz w:val="22"/>
                <w:szCs w:val="22"/>
                <w:lang w:eastAsia="en-US"/>
              </w:rPr>
            </w:pPr>
          </w:p>
          <w:p w14:paraId="38C0F84E" w14:textId="77777777" w:rsidR="0008080E" w:rsidRDefault="0069514D" w:rsidP="00625F4B">
            <w:pPr>
              <w:spacing w:after="20"/>
              <w:rPr>
                <w:szCs w:val="24"/>
                <w:lang w:eastAsia="en-US"/>
              </w:rPr>
            </w:pPr>
            <w:r w:rsidRPr="0069514D">
              <w:rPr>
                <w:szCs w:val="24"/>
                <w:lang w:eastAsia="en-US"/>
              </w:rPr>
              <w:t>Polsko vykazuje ve sledovaném období zlepšující se trend na trhu práce. I přes tento fakt si ve většině sledovaných ukazatelích stojí hůře než Česká Republika. Tato skutečnost může být v Polsku v budoucnu rozhodujícím faktorem,</w:t>
            </w:r>
            <w:r>
              <w:rPr>
                <w:szCs w:val="24"/>
                <w:lang w:eastAsia="en-US"/>
              </w:rPr>
              <w:t xml:space="preserve"> protože produktivita práce přispívá k udržení životní úrovně obyvatelstva.</w:t>
            </w:r>
            <w:r w:rsidRPr="0069514D">
              <w:rPr>
                <w:szCs w:val="24"/>
                <w:lang w:eastAsia="en-US"/>
              </w:rPr>
              <w:t xml:space="preserve"> Česká republika si naopak stojí v některých případech lépe než je prů</w:t>
            </w:r>
            <w:r>
              <w:rPr>
                <w:szCs w:val="24"/>
                <w:lang w:eastAsia="en-US"/>
              </w:rPr>
              <w:t xml:space="preserve">měr státu EU (28). </w:t>
            </w:r>
            <w:r w:rsidR="00E27466">
              <w:rPr>
                <w:szCs w:val="24"/>
                <w:lang w:eastAsia="en-US"/>
              </w:rPr>
              <w:t>Obě dvě země by se měly více zaměřit na zvýšení produktivity práce speciálně u mladých a starších lidí.</w:t>
            </w:r>
          </w:p>
          <w:p w14:paraId="5E02A2FF" w14:textId="77777777" w:rsidR="005B3D26" w:rsidRPr="0069514D" w:rsidRDefault="005B3D26" w:rsidP="00625F4B">
            <w:pPr>
              <w:spacing w:after="20"/>
              <w:rPr>
                <w:szCs w:val="24"/>
                <w:lang w:eastAsia="en-US"/>
              </w:rPr>
            </w:pPr>
          </w:p>
        </w:tc>
      </w:tr>
    </w:tbl>
    <w:p w14:paraId="353AA801" w14:textId="77777777" w:rsidR="00A37998" w:rsidRPr="00120E84" w:rsidRDefault="00A37998" w:rsidP="00625F4B">
      <w:pPr>
        <w:spacing w:after="20"/>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4"/>
      </w:tblGrid>
      <w:tr w:rsidR="00A37998" w:rsidRPr="00120E84" w14:paraId="4CC4117F" w14:textId="77777777" w:rsidTr="00691F1F">
        <w:tc>
          <w:tcPr>
            <w:tcW w:w="9212" w:type="dxa"/>
            <w:tcBorders>
              <w:top w:val="single" w:sz="4" w:space="0" w:color="auto"/>
              <w:left w:val="single" w:sz="4" w:space="0" w:color="auto"/>
              <w:bottom w:val="single" w:sz="4" w:space="0" w:color="auto"/>
              <w:right w:val="single" w:sz="4" w:space="0" w:color="auto"/>
            </w:tcBorders>
            <w:shd w:val="clear" w:color="auto" w:fill="F3F3F3"/>
          </w:tcPr>
          <w:p w14:paraId="264C00B6" w14:textId="77777777" w:rsidR="00A37998" w:rsidRPr="00120E84" w:rsidRDefault="00A37998" w:rsidP="00625F4B">
            <w:pPr>
              <w:spacing w:after="20"/>
              <w:jc w:val="center"/>
              <w:rPr>
                <w:rFonts w:ascii="Verdana" w:hAnsi="Verdana"/>
                <w:b/>
                <w:bCs/>
                <w:sz w:val="20"/>
                <w:lang w:eastAsia="en-US"/>
              </w:rPr>
            </w:pPr>
            <w:r w:rsidRPr="00120E84">
              <w:rPr>
                <w:rFonts w:ascii="Verdana" w:hAnsi="Verdana"/>
                <w:b/>
                <w:bCs/>
                <w:sz w:val="20"/>
                <w:lang w:eastAsia="en-US"/>
              </w:rPr>
              <w:t>KLÍČOVÁ SLOVA</w:t>
            </w:r>
          </w:p>
        </w:tc>
      </w:tr>
      <w:tr w:rsidR="00A37998" w:rsidRPr="00120E84" w14:paraId="272B9A81" w14:textId="77777777" w:rsidTr="00691F1F">
        <w:tc>
          <w:tcPr>
            <w:tcW w:w="9212" w:type="dxa"/>
            <w:tcBorders>
              <w:top w:val="single" w:sz="4" w:space="0" w:color="auto"/>
              <w:left w:val="single" w:sz="4" w:space="0" w:color="auto"/>
              <w:bottom w:val="single" w:sz="4" w:space="0" w:color="auto"/>
              <w:right w:val="single" w:sz="4" w:space="0" w:color="auto"/>
            </w:tcBorders>
          </w:tcPr>
          <w:p w14:paraId="18E004A3" w14:textId="77777777" w:rsidR="00A37998" w:rsidRDefault="00A37998" w:rsidP="00625F4B">
            <w:pPr>
              <w:spacing w:after="20"/>
              <w:rPr>
                <w:rFonts w:ascii="Verdana" w:hAnsi="Verdana"/>
                <w:b/>
                <w:sz w:val="20"/>
                <w:lang w:eastAsia="en-US"/>
              </w:rPr>
            </w:pPr>
          </w:p>
          <w:p w14:paraId="651EB056" w14:textId="77777777" w:rsidR="0069514D" w:rsidRPr="005B3D26" w:rsidRDefault="00E27466" w:rsidP="00625F4B">
            <w:pPr>
              <w:spacing w:after="20"/>
              <w:rPr>
                <w:szCs w:val="24"/>
                <w:lang w:eastAsia="en-US"/>
              </w:rPr>
            </w:pPr>
            <w:r>
              <w:rPr>
                <w:szCs w:val="24"/>
                <w:lang w:eastAsia="en-US"/>
              </w:rPr>
              <w:t xml:space="preserve">Česká republika, Polsko, </w:t>
            </w:r>
            <w:r w:rsidR="0069514D" w:rsidRPr="005B3D26">
              <w:rPr>
                <w:szCs w:val="24"/>
                <w:lang w:eastAsia="en-US"/>
              </w:rPr>
              <w:t>Evropská unie, makroekonomické ukazatele</w:t>
            </w:r>
            <w:r>
              <w:rPr>
                <w:szCs w:val="24"/>
                <w:lang w:eastAsia="en-US"/>
              </w:rPr>
              <w:t>, zaměstnanost, nezaměstnanost</w:t>
            </w:r>
            <w:r w:rsidR="005B3D26">
              <w:rPr>
                <w:szCs w:val="24"/>
                <w:lang w:eastAsia="en-US"/>
              </w:rPr>
              <w:t>, h</w:t>
            </w:r>
            <w:r w:rsidR="005B3D26" w:rsidRPr="005B3D26">
              <w:rPr>
                <w:szCs w:val="24"/>
                <w:lang w:eastAsia="en-US"/>
              </w:rPr>
              <w:t>rubý domácí produkt</w:t>
            </w:r>
            <w:r>
              <w:rPr>
                <w:szCs w:val="24"/>
                <w:lang w:eastAsia="en-US"/>
              </w:rPr>
              <w:t>, Evropa 2020.</w:t>
            </w:r>
          </w:p>
          <w:p w14:paraId="655FCC40" w14:textId="77777777" w:rsidR="00A37998" w:rsidRPr="00120E84" w:rsidRDefault="00A37998" w:rsidP="00625F4B">
            <w:pPr>
              <w:spacing w:after="20"/>
              <w:rPr>
                <w:rFonts w:ascii="Verdana" w:hAnsi="Verdana"/>
                <w:b/>
                <w:sz w:val="20"/>
                <w:lang w:eastAsia="en-US"/>
              </w:rPr>
            </w:pPr>
          </w:p>
        </w:tc>
      </w:tr>
    </w:tbl>
    <w:p w14:paraId="4ED305E1" w14:textId="77777777" w:rsidR="00A37998" w:rsidRPr="00120E84" w:rsidRDefault="00A37998" w:rsidP="00625F4B">
      <w:pPr>
        <w:spacing w:after="20"/>
        <w:rPr>
          <w:rFonts w:ascii="Verdana" w:hAnsi="Verdana"/>
          <w:b/>
          <w:sz w:val="20"/>
        </w:rPr>
      </w:pPr>
    </w:p>
    <w:p w14:paraId="1095595D" w14:textId="77777777" w:rsidR="00F974E5" w:rsidRPr="00120E84" w:rsidRDefault="00F974E5" w:rsidP="00625F4B">
      <w:pPr>
        <w:spacing w:after="20"/>
        <w:rPr>
          <w:rFonts w:ascii="Verdana" w:hAnsi="Verdana"/>
          <w:b/>
          <w:sz w:val="20"/>
        </w:rPr>
      </w:pPr>
      <w:r w:rsidRPr="00120E84">
        <w:rPr>
          <w:rFonts w:ascii="Verdana" w:hAnsi="Verdana"/>
          <w:b/>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4"/>
      </w:tblGrid>
      <w:tr w:rsidR="00A37998" w:rsidRPr="00120E84" w14:paraId="197D5687" w14:textId="77777777" w:rsidTr="00691F1F">
        <w:tc>
          <w:tcPr>
            <w:tcW w:w="8644" w:type="dxa"/>
            <w:tcBorders>
              <w:top w:val="single" w:sz="4" w:space="0" w:color="auto"/>
              <w:left w:val="single" w:sz="4" w:space="0" w:color="auto"/>
              <w:bottom w:val="single" w:sz="4" w:space="0" w:color="auto"/>
              <w:right w:val="single" w:sz="4" w:space="0" w:color="auto"/>
            </w:tcBorders>
            <w:shd w:val="clear" w:color="auto" w:fill="F3F3F3"/>
          </w:tcPr>
          <w:p w14:paraId="4C920958" w14:textId="77777777" w:rsidR="00A37998" w:rsidRPr="00120E84" w:rsidRDefault="00120E84" w:rsidP="00625F4B">
            <w:pPr>
              <w:spacing w:after="20"/>
              <w:jc w:val="center"/>
              <w:rPr>
                <w:rFonts w:ascii="Verdana" w:hAnsi="Verdana"/>
                <w:b/>
                <w:sz w:val="20"/>
                <w:lang w:eastAsia="en-US"/>
              </w:rPr>
            </w:pPr>
            <w:r>
              <w:rPr>
                <w:rFonts w:ascii="Verdana" w:hAnsi="Verdana"/>
                <w:b/>
                <w:bCs/>
                <w:sz w:val="20"/>
                <w:lang w:eastAsia="en-US"/>
              </w:rPr>
              <w:t>S</w:t>
            </w:r>
            <w:r w:rsidR="00A37998" w:rsidRPr="00120E84">
              <w:rPr>
                <w:rFonts w:ascii="Verdana" w:hAnsi="Verdana"/>
                <w:b/>
                <w:bCs/>
                <w:sz w:val="20"/>
                <w:lang w:eastAsia="en-US"/>
              </w:rPr>
              <w:t>UMMARY</w:t>
            </w:r>
          </w:p>
        </w:tc>
      </w:tr>
      <w:tr w:rsidR="00A37998" w:rsidRPr="0069514D" w14:paraId="74AF71C8" w14:textId="77777777" w:rsidTr="00691F1F">
        <w:trPr>
          <w:trHeight w:val="1539"/>
        </w:trPr>
        <w:tc>
          <w:tcPr>
            <w:tcW w:w="8644" w:type="dxa"/>
            <w:tcBorders>
              <w:top w:val="single" w:sz="4" w:space="0" w:color="auto"/>
              <w:left w:val="single" w:sz="4" w:space="0" w:color="auto"/>
              <w:bottom w:val="single" w:sz="4" w:space="0" w:color="auto"/>
              <w:right w:val="single" w:sz="4" w:space="0" w:color="auto"/>
            </w:tcBorders>
          </w:tcPr>
          <w:p w14:paraId="122BDB25" w14:textId="116EC07C" w:rsidR="005B3D26" w:rsidRPr="005B3D26" w:rsidRDefault="00997489" w:rsidP="0095297E">
            <w:pPr>
              <w:spacing w:after="20"/>
              <w:ind w:left="426" w:hanging="426"/>
              <w:rPr>
                <w:b/>
                <w:sz w:val="22"/>
                <w:szCs w:val="22"/>
                <w:lang w:eastAsia="en-US"/>
              </w:rPr>
            </w:pPr>
            <w:r w:rsidRPr="0069514D">
              <w:rPr>
                <w:rFonts w:ascii="Verdana" w:hAnsi="Verdana"/>
                <w:b/>
                <w:sz w:val="22"/>
                <w:szCs w:val="22"/>
                <w:lang w:eastAsia="en-US"/>
              </w:rPr>
              <w:t xml:space="preserve">1.  </w:t>
            </w:r>
            <w:r w:rsidR="00A37998" w:rsidRPr="0069514D">
              <w:rPr>
                <w:rFonts w:ascii="Verdana" w:hAnsi="Verdana"/>
                <w:b/>
                <w:sz w:val="22"/>
                <w:szCs w:val="22"/>
                <w:lang w:eastAsia="en-US"/>
              </w:rPr>
              <w:t>Main objective:</w:t>
            </w:r>
            <w:r w:rsidR="00B048B7" w:rsidRPr="0069514D">
              <w:rPr>
                <w:rFonts w:ascii="Verdana" w:hAnsi="Verdana"/>
                <w:b/>
                <w:sz w:val="22"/>
                <w:szCs w:val="22"/>
                <w:lang w:eastAsia="en-US"/>
              </w:rPr>
              <w:t xml:space="preserve"> </w:t>
            </w:r>
          </w:p>
          <w:p w14:paraId="5D4D2D44" w14:textId="77777777" w:rsidR="0095297E" w:rsidRPr="0095297E" w:rsidRDefault="0095297E" w:rsidP="0095297E">
            <w:pPr>
              <w:spacing w:after="20"/>
              <w:jc w:val="left"/>
              <w:rPr>
                <w:szCs w:val="24"/>
                <w:lang w:eastAsia="en-US"/>
              </w:rPr>
            </w:pP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aim</w:t>
            </w:r>
            <w:proofErr w:type="spellEnd"/>
            <w:r w:rsidRPr="0095297E">
              <w:rPr>
                <w:szCs w:val="24"/>
                <w:lang w:eastAsia="en-US"/>
              </w:rPr>
              <w:t xml:space="preserve"> </w:t>
            </w:r>
            <w:proofErr w:type="spellStart"/>
            <w:r w:rsidRPr="0095297E">
              <w:rPr>
                <w:szCs w:val="24"/>
                <w:lang w:eastAsia="en-US"/>
              </w:rPr>
              <w:t>of</w:t>
            </w:r>
            <w:proofErr w:type="spellEnd"/>
            <w:r w:rsidRPr="0095297E">
              <w:rPr>
                <w:szCs w:val="24"/>
                <w:lang w:eastAsia="en-US"/>
              </w:rPr>
              <w:t xml:space="preserve"> </w:t>
            </w:r>
            <w:proofErr w:type="spellStart"/>
            <w:r w:rsidRPr="0095297E">
              <w:rPr>
                <w:szCs w:val="24"/>
                <w:lang w:eastAsia="en-US"/>
              </w:rPr>
              <w:t>this</w:t>
            </w:r>
            <w:proofErr w:type="spellEnd"/>
            <w:r w:rsidRPr="0095297E">
              <w:rPr>
                <w:szCs w:val="24"/>
                <w:lang w:eastAsia="en-US"/>
              </w:rPr>
              <w:t xml:space="preserve"> </w:t>
            </w:r>
            <w:proofErr w:type="spellStart"/>
            <w:r w:rsidRPr="0095297E">
              <w:rPr>
                <w:szCs w:val="24"/>
                <w:lang w:eastAsia="en-US"/>
              </w:rPr>
              <w:t>course</w:t>
            </w:r>
            <w:proofErr w:type="spellEnd"/>
            <w:r w:rsidRPr="0095297E">
              <w:rPr>
                <w:szCs w:val="24"/>
                <w:lang w:eastAsia="en-US"/>
              </w:rPr>
              <w:t xml:space="preserve"> </w:t>
            </w:r>
            <w:proofErr w:type="spellStart"/>
            <w:r w:rsidRPr="0095297E">
              <w:rPr>
                <w:szCs w:val="24"/>
                <w:lang w:eastAsia="en-US"/>
              </w:rPr>
              <w:t>work</w:t>
            </w:r>
            <w:proofErr w:type="spellEnd"/>
            <w:r w:rsidRPr="0095297E">
              <w:rPr>
                <w:szCs w:val="24"/>
                <w:lang w:eastAsia="en-US"/>
              </w:rPr>
              <w:t xml:space="preserve"> </w:t>
            </w:r>
            <w:proofErr w:type="spellStart"/>
            <w:r w:rsidRPr="0095297E">
              <w:rPr>
                <w:szCs w:val="24"/>
                <w:lang w:eastAsia="en-US"/>
              </w:rPr>
              <w:t>is</w:t>
            </w:r>
            <w:proofErr w:type="spellEnd"/>
            <w:r w:rsidRPr="0095297E">
              <w:rPr>
                <w:szCs w:val="24"/>
                <w:lang w:eastAsia="en-US"/>
              </w:rPr>
              <w:t xml:space="preserve"> </w:t>
            </w:r>
            <w:proofErr w:type="spellStart"/>
            <w:r w:rsidRPr="0095297E">
              <w:rPr>
                <w:szCs w:val="24"/>
                <w:lang w:eastAsia="en-US"/>
              </w:rPr>
              <w:t>the</w:t>
            </w:r>
            <w:proofErr w:type="spellEnd"/>
            <w:r w:rsidRPr="0095297E">
              <w:rPr>
                <w:szCs w:val="24"/>
                <w:lang w:eastAsia="en-US"/>
              </w:rPr>
              <w:t xml:space="preserve"> most </w:t>
            </w:r>
            <w:proofErr w:type="spellStart"/>
            <w:r w:rsidRPr="0095297E">
              <w:rPr>
                <w:szCs w:val="24"/>
                <w:lang w:eastAsia="en-US"/>
              </w:rPr>
              <w:t>objective</w:t>
            </w:r>
            <w:proofErr w:type="spellEnd"/>
            <w:r w:rsidRPr="0095297E">
              <w:rPr>
                <w:szCs w:val="24"/>
                <w:lang w:eastAsia="en-US"/>
              </w:rPr>
              <w:t xml:space="preserve"> </w:t>
            </w:r>
            <w:proofErr w:type="spellStart"/>
            <w:r w:rsidRPr="0095297E">
              <w:rPr>
                <w:szCs w:val="24"/>
                <w:lang w:eastAsia="en-US"/>
              </w:rPr>
              <w:t>evaluation</w:t>
            </w:r>
            <w:proofErr w:type="spellEnd"/>
            <w:r w:rsidRPr="0095297E">
              <w:rPr>
                <w:szCs w:val="24"/>
                <w:lang w:eastAsia="en-US"/>
              </w:rPr>
              <w:t xml:space="preserve"> </w:t>
            </w:r>
            <w:proofErr w:type="spellStart"/>
            <w:r w:rsidRPr="0095297E">
              <w:rPr>
                <w:szCs w:val="24"/>
                <w:lang w:eastAsia="en-US"/>
              </w:rPr>
              <w:t>of</w:t>
            </w:r>
            <w:proofErr w:type="spellEnd"/>
            <w:r w:rsidRPr="0095297E">
              <w:rPr>
                <w:szCs w:val="24"/>
                <w:lang w:eastAsia="en-US"/>
              </w:rPr>
              <w:t xml:space="preserve"> </w:t>
            </w:r>
            <w:proofErr w:type="spellStart"/>
            <w:r w:rsidRPr="0095297E">
              <w:rPr>
                <w:szCs w:val="24"/>
                <w:lang w:eastAsia="en-US"/>
              </w:rPr>
              <w:t>two</w:t>
            </w:r>
            <w:proofErr w:type="spellEnd"/>
            <w:r w:rsidRPr="0095297E">
              <w:rPr>
                <w:szCs w:val="24"/>
                <w:lang w:eastAsia="en-US"/>
              </w:rPr>
              <w:t xml:space="preserve"> </w:t>
            </w:r>
            <w:proofErr w:type="spellStart"/>
            <w:r w:rsidRPr="0095297E">
              <w:rPr>
                <w:szCs w:val="24"/>
                <w:lang w:eastAsia="en-US"/>
              </w:rPr>
              <w:t>European</w:t>
            </w:r>
            <w:proofErr w:type="spellEnd"/>
            <w:r w:rsidRPr="0095297E">
              <w:rPr>
                <w:szCs w:val="24"/>
                <w:lang w:eastAsia="en-US"/>
              </w:rPr>
              <w:t xml:space="preserve"> </w:t>
            </w:r>
            <w:proofErr w:type="spellStart"/>
            <w:r w:rsidRPr="0095297E">
              <w:rPr>
                <w:szCs w:val="24"/>
                <w:lang w:eastAsia="en-US"/>
              </w:rPr>
              <w:t>countries</w:t>
            </w:r>
            <w:proofErr w:type="spellEnd"/>
            <w:r w:rsidRPr="0095297E">
              <w:rPr>
                <w:szCs w:val="24"/>
                <w:lang w:eastAsia="en-US"/>
              </w:rPr>
              <w:t xml:space="preserve"> unie- Czech Republic and </w:t>
            </w:r>
            <w:proofErr w:type="spellStart"/>
            <w:r w:rsidRPr="0095297E">
              <w:rPr>
                <w:szCs w:val="24"/>
                <w:lang w:eastAsia="en-US"/>
              </w:rPr>
              <w:t>Poland</w:t>
            </w:r>
            <w:proofErr w:type="spellEnd"/>
            <w:r w:rsidRPr="0095297E">
              <w:rPr>
                <w:szCs w:val="24"/>
                <w:lang w:eastAsia="en-US"/>
              </w:rPr>
              <w:t xml:space="preserve"> in </w:t>
            </w:r>
            <w:proofErr w:type="spellStart"/>
            <w:r w:rsidRPr="0095297E">
              <w:rPr>
                <w:szCs w:val="24"/>
                <w:lang w:eastAsia="en-US"/>
              </w:rPr>
              <w:t>selected</w:t>
            </w:r>
            <w:proofErr w:type="spellEnd"/>
            <w:r w:rsidRPr="0095297E">
              <w:rPr>
                <w:szCs w:val="24"/>
                <w:lang w:eastAsia="en-US"/>
              </w:rPr>
              <w:t xml:space="preserve"> </w:t>
            </w:r>
            <w:proofErr w:type="spellStart"/>
            <w:r w:rsidRPr="0095297E">
              <w:rPr>
                <w:szCs w:val="24"/>
                <w:lang w:eastAsia="en-US"/>
              </w:rPr>
              <w:t>indicators</w:t>
            </w:r>
            <w:proofErr w:type="spellEnd"/>
            <w:r w:rsidRPr="0095297E">
              <w:rPr>
                <w:szCs w:val="24"/>
                <w:lang w:eastAsia="en-US"/>
              </w:rPr>
              <w:t xml:space="preserve"> </w:t>
            </w:r>
            <w:proofErr w:type="spellStart"/>
            <w:r w:rsidRPr="0095297E">
              <w:rPr>
                <w:szCs w:val="24"/>
                <w:lang w:eastAsia="en-US"/>
              </w:rPr>
              <w:t>of</w:t>
            </w:r>
            <w:proofErr w:type="spellEnd"/>
            <w:r w:rsidRPr="0095297E">
              <w:rPr>
                <w:szCs w:val="24"/>
                <w:lang w:eastAsia="en-US"/>
              </w:rPr>
              <w:t xml:space="preserve"> </w:t>
            </w:r>
            <w:proofErr w:type="spellStart"/>
            <w:r w:rsidRPr="0095297E">
              <w:rPr>
                <w:szCs w:val="24"/>
                <w:lang w:eastAsia="en-US"/>
              </w:rPr>
              <w:t>employment</w:t>
            </w:r>
            <w:proofErr w:type="spellEnd"/>
            <w:r w:rsidRPr="0095297E">
              <w:rPr>
                <w:szCs w:val="24"/>
                <w:lang w:eastAsia="en-US"/>
              </w:rPr>
              <w:t xml:space="preserve"> and </w:t>
            </w:r>
            <w:proofErr w:type="spellStart"/>
            <w:r w:rsidRPr="0095297E">
              <w:rPr>
                <w:szCs w:val="24"/>
                <w:lang w:eastAsia="en-US"/>
              </w:rPr>
              <w:t>unemployment</w:t>
            </w:r>
            <w:proofErr w:type="spellEnd"/>
            <w:r w:rsidRPr="0095297E">
              <w:rPr>
                <w:szCs w:val="24"/>
                <w:lang w:eastAsia="en-US"/>
              </w:rPr>
              <w:t xml:space="preserve">. To </w:t>
            </w:r>
            <w:proofErr w:type="spellStart"/>
            <w:r w:rsidRPr="0095297E">
              <w:rPr>
                <w:szCs w:val="24"/>
                <w:lang w:eastAsia="en-US"/>
              </w:rPr>
              <w:t>achieve</w:t>
            </w:r>
            <w:proofErr w:type="spellEnd"/>
            <w:r w:rsidRPr="0095297E">
              <w:rPr>
                <w:szCs w:val="24"/>
                <w:lang w:eastAsia="en-US"/>
              </w:rPr>
              <w:t xml:space="preserve"> </w:t>
            </w: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main</w:t>
            </w:r>
            <w:proofErr w:type="spellEnd"/>
            <w:r w:rsidRPr="0095297E">
              <w:rPr>
                <w:szCs w:val="24"/>
                <w:lang w:eastAsia="en-US"/>
              </w:rPr>
              <w:t xml:space="preserve"> </w:t>
            </w:r>
            <w:proofErr w:type="spellStart"/>
            <w:r w:rsidRPr="0095297E">
              <w:rPr>
                <w:szCs w:val="24"/>
                <w:lang w:eastAsia="en-US"/>
              </w:rPr>
              <w:t>objectives</w:t>
            </w:r>
            <w:proofErr w:type="spellEnd"/>
            <w:r w:rsidRPr="0095297E">
              <w:rPr>
                <w:szCs w:val="24"/>
                <w:lang w:eastAsia="en-US"/>
              </w:rPr>
              <w:t xml:space="preserve"> </w:t>
            </w:r>
            <w:proofErr w:type="spellStart"/>
            <w:r w:rsidRPr="0095297E">
              <w:rPr>
                <w:szCs w:val="24"/>
                <w:lang w:eastAsia="en-US"/>
              </w:rPr>
              <w:t>have</w:t>
            </w:r>
            <w:proofErr w:type="spellEnd"/>
            <w:r w:rsidRPr="0095297E">
              <w:rPr>
                <w:szCs w:val="24"/>
                <w:lang w:eastAsia="en-US"/>
              </w:rPr>
              <w:t xml:space="preserve"> </w:t>
            </w:r>
            <w:proofErr w:type="spellStart"/>
            <w:r w:rsidRPr="0095297E">
              <w:rPr>
                <w:szCs w:val="24"/>
                <w:lang w:eastAsia="en-US"/>
              </w:rPr>
              <w:t>been</w:t>
            </w:r>
            <w:proofErr w:type="spellEnd"/>
            <w:r w:rsidRPr="0095297E">
              <w:rPr>
                <w:szCs w:val="24"/>
                <w:lang w:eastAsia="en-US"/>
              </w:rPr>
              <w:t xml:space="preserve"> </w:t>
            </w:r>
            <w:proofErr w:type="spellStart"/>
            <w:r w:rsidRPr="0095297E">
              <w:rPr>
                <w:szCs w:val="24"/>
                <w:lang w:eastAsia="en-US"/>
              </w:rPr>
              <w:t>identified</w:t>
            </w:r>
            <w:proofErr w:type="spellEnd"/>
            <w:r w:rsidRPr="0095297E">
              <w:rPr>
                <w:szCs w:val="24"/>
                <w:lang w:eastAsia="en-US"/>
              </w:rPr>
              <w:t xml:space="preserve"> </w:t>
            </w:r>
            <w:proofErr w:type="spellStart"/>
            <w:r w:rsidRPr="0095297E">
              <w:rPr>
                <w:szCs w:val="24"/>
                <w:lang w:eastAsia="en-US"/>
              </w:rPr>
              <w:t>following</w:t>
            </w:r>
            <w:proofErr w:type="spellEnd"/>
            <w:r w:rsidRPr="0095297E">
              <w:rPr>
                <w:szCs w:val="24"/>
                <w:lang w:eastAsia="en-US"/>
              </w:rPr>
              <w:t xml:space="preserve"> </w:t>
            </w:r>
            <w:proofErr w:type="spellStart"/>
            <w:r w:rsidRPr="0095297E">
              <w:rPr>
                <w:szCs w:val="24"/>
                <w:lang w:eastAsia="en-US"/>
              </w:rPr>
              <w:t>objectives</w:t>
            </w:r>
            <w:proofErr w:type="spellEnd"/>
            <w:r w:rsidRPr="0095297E">
              <w:rPr>
                <w:szCs w:val="24"/>
                <w:lang w:eastAsia="en-US"/>
              </w:rPr>
              <w:t>:</w:t>
            </w:r>
          </w:p>
          <w:p w14:paraId="74CE7958" w14:textId="77777777" w:rsidR="0095297E" w:rsidRPr="0095297E" w:rsidRDefault="0095297E" w:rsidP="0095297E">
            <w:pPr>
              <w:spacing w:after="20"/>
              <w:jc w:val="left"/>
              <w:rPr>
                <w:szCs w:val="24"/>
                <w:lang w:eastAsia="en-US"/>
              </w:rPr>
            </w:pPr>
            <w:r w:rsidRPr="0095297E">
              <w:rPr>
                <w:szCs w:val="24"/>
                <w:lang w:eastAsia="en-US"/>
              </w:rPr>
              <w:t xml:space="preserve">- General </w:t>
            </w:r>
            <w:proofErr w:type="spellStart"/>
            <w:r w:rsidRPr="0095297E">
              <w:rPr>
                <w:szCs w:val="24"/>
                <w:lang w:eastAsia="en-US"/>
              </w:rPr>
              <w:t>objective</w:t>
            </w:r>
            <w:proofErr w:type="spellEnd"/>
            <w:r w:rsidRPr="0095297E">
              <w:rPr>
                <w:szCs w:val="24"/>
                <w:lang w:eastAsia="en-US"/>
              </w:rPr>
              <w:t xml:space="preserve"> </w:t>
            </w:r>
            <w:proofErr w:type="spellStart"/>
            <w:r w:rsidRPr="0095297E">
              <w:rPr>
                <w:szCs w:val="24"/>
                <w:lang w:eastAsia="en-US"/>
              </w:rPr>
              <w:t>comparison</w:t>
            </w:r>
            <w:proofErr w:type="spellEnd"/>
            <w:r w:rsidRPr="0095297E">
              <w:rPr>
                <w:szCs w:val="24"/>
                <w:lang w:eastAsia="en-US"/>
              </w:rPr>
              <w:t xml:space="preserve"> </w:t>
            </w:r>
            <w:proofErr w:type="spellStart"/>
            <w:r w:rsidRPr="0095297E">
              <w:rPr>
                <w:szCs w:val="24"/>
                <w:lang w:eastAsia="en-US"/>
              </w:rPr>
              <w:t>of</w:t>
            </w:r>
            <w:proofErr w:type="spellEnd"/>
            <w:r w:rsidRPr="0095297E">
              <w:rPr>
                <w:szCs w:val="24"/>
                <w:lang w:eastAsia="en-US"/>
              </w:rPr>
              <w:t xml:space="preserve"> </w:t>
            </w: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two</w:t>
            </w:r>
            <w:proofErr w:type="spellEnd"/>
            <w:r w:rsidRPr="0095297E">
              <w:rPr>
                <w:szCs w:val="24"/>
                <w:lang w:eastAsia="en-US"/>
              </w:rPr>
              <w:t xml:space="preserve"> </w:t>
            </w:r>
            <w:proofErr w:type="spellStart"/>
            <w:r w:rsidRPr="0095297E">
              <w:rPr>
                <w:szCs w:val="24"/>
                <w:lang w:eastAsia="en-US"/>
              </w:rPr>
              <w:t>countries</w:t>
            </w:r>
            <w:proofErr w:type="spellEnd"/>
            <w:r w:rsidRPr="0095297E">
              <w:rPr>
                <w:szCs w:val="24"/>
                <w:lang w:eastAsia="en-US"/>
              </w:rPr>
              <w:t xml:space="preserve"> in </w:t>
            </w: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theoretical</w:t>
            </w:r>
            <w:proofErr w:type="spellEnd"/>
            <w:r w:rsidRPr="0095297E">
              <w:rPr>
                <w:szCs w:val="24"/>
                <w:lang w:eastAsia="en-US"/>
              </w:rPr>
              <w:t xml:space="preserve"> part, </w:t>
            </w:r>
            <w:proofErr w:type="spellStart"/>
            <w:r w:rsidRPr="0095297E">
              <w:rPr>
                <w:szCs w:val="24"/>
                <w:lang w:eastAsia="en-US"/>
              </w:rPr>
              <w:t>according</w:t>
            </w:r>
            <w:proofErr w:type="spellEnd"/>
            <w:r w:rsidRPr="0095297E">
              <w:rPr>
                <w:szCs w:val="24"/>
                <w:lang w:eastAsia="en-US"/>
              </w:rPr>
              <w:t xml:space="preserve"> to </w:t>
            </w: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information</w:t>
            </w:r>
            <w:proofErr w:type="spellEnd"/>
            <w:r w:rsidRPr="0095297E">
              <w:rPr>
                <w:szCs w:val="24"/>
                <w:lang w:eastAsia="en-US"/>
              </w:rPr>
              <w:t xml:space="preserve"> </w:t>
            </w:r>
            <w:proofErr w:type="spellStart"/>
            <w:r w:rsidRPr="0095297E">
              <w:rPr>
                <w:szCs w:val="24"/>
                <w:lang w:eastAsia="en-US"/>
              </w:rPr>
              <w:t>available</w:t>
            </w:r>
            <w:proofErr w:type="spellEnd"/>
            <w:r w:rsidRPr="0095297E">
              <w:rPr>
                <w:szCs w:val="24"/>
                <w:lang w:eastAsia="en-US"/>
              </w:rPr>
              <w:t xml:space="preserve"> in </w:t>
            </w: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current</w:t>
            </w:r>
            <w:proofErr w:type="spellEnd"/>
            <w:r w:rsidRPr="0095297E">
              <w:rPr>
                <w:szCs w:val="24"/>
                <w:lang w:eastAsia="en-US"/>
              </w:rPr>
              <w:t xml:space="preserve"> </w:t>
            </w:r>
            <w:proofErr w:type="spellStart"/>
            <w:r w:rsidRPr="0095297E">
              <w:rPr>
                <w:szCs w:val="24"/>
                <w:lang w:eastAsia="en-US"/>
              </w:rPr>
              <w:t>literature</w:t>
            </w:r>
            <w:proofErr w:type="spellEnd"/>
            <w:r w:rsidRPr="0095297E">
              <w:rPr>
                <w:szCs w:val="24"/>
                <w:lang w:eastAsia="en-US"/>
              </w:rPr>
              <w:t>;</w:t>
            </w:r>
          </w:p>
          <w:p w14:paraId="30121789" w14:textId="77777777" w:rsidR="0095297E" w:rsidRPr="0095297E" w:rsidRDefault="0095297E" w:rsidP="0095297E">
            <w:pPr>
              <w:spacing w:after="20"/>
              <w:jc w:val="left"/>
              <w:rPr>
                <w:szCs w:val="24"/>
                <w:lang w:eastAsia="en-US"/>
              </w:rPr>
            </w:pPr>
            <w:r w:rsidRPr="0095297E">
              <w:rPr>
                <w:szCs w:val="24"/>
                <w:lang w:eastAsia="en-US"/>
              </w:rPr>
              <w:t xml:space="preserve">- </w:t>
            </w:r>
            <w:proofErr w:type="spellStart"/>
            <w:r w:rsidRPr="0095297E">
              <w:rPr>
                <w:szCs w:val="24"/>
                <w:lang w:eastAsia="en-US"/>
              </w:rPr>
              <w:t>Selection</w:t>
            </w:r>
            <w:proofErr w:type="spellEnd"/>
            <w:r w:rsidRPr="0095297E">
              <w:rPr>
                <w:szCs w:val="24"/>
                <w:lang w:eastAsia="en-US"/>
              </w:rPr>
              <w:t xml:space="preserve"> </w:t>
            </w:r>
            <w:proofErr w:type="spellStart"/>
            <w:r w:rsidRPr="0095297E">
              <w:rPr>
                <w:szCs w:val="24"/>
                <w:lang w:eastAsia="en-US"/>
              </w:rPr>
              <w:t>of</w:t>
            </w:r>
            <w:proofErr w:type="spellEnd"/>
            <w:r w:rsidRPr="0095297E">
              <w:rPr>
                <w:szCs w:val="24"/>
                <w:lang w:eastAsia="en-US"/>
              </w:rPr>
              <w:t xml:space="preserve"> </w:t>
            </w:r>
            <w:proofErr w:type="spellStart"/>
            <w:r w:rsidRPr="0095297E">
              <w:rPr>
                <w:szCs w:val="24"/>
                <w:lang w:eastAsia="en-US"/>
              </w:rPr>
              <w:t>relevant</w:t>
            </w:r>
            <w:proofErr w:type="spellEnd"/>
            <w:r w:rsidRPr="0095297E">
              <w:rPr>
                <w:szCs w:val="24"/>
                <w:lang w:eastAsia="en-US"/>
              </w:rPr>
              <w:t xml:space="preserve"> </w:t>
            </w:r>
            <w:proofErr w:type="spellStart"/>
            <w:r w:rsidRPr="0095297E">
              <w:rPr>
                <w:szCs w:val="24"/>
                <w:lang w:eastAsia="en-US"/>
              </w:rPr>
              <w:t>labor</w:t>
            </w:r>
            <w:proofErr w:type="spellEnd"/>
            <w:r w:rsidRPr="0095297E">
              <w:rPr>
                <w:szCs w:val="24"/>
                <w:lang w:eastAsia="en-US"/>
              </w:rPr>
              <w:t xml:space="preserve"> market </w:t>
            </w:r>
            <w:proofErr w:type="spellStart"/>
            <w:r w:rsidRPr="0095297E">
              <w:rPr>
                <w:szCs w:val="24"/>
                <w:lang w:eastAsia="en-US"/>
              </w:rPr>
              <w:t>indicators</w:t>
            </w:r>
            <w:proofErr w:type="spellEnd"/>
            <w:r w:rsidRPr="0095297E">
              <w:rPr>
                <w:szCs w:val="24"/>
                <w:lang w:eastAsia="en-US"/>
              </w:rPr>
              <w:t xml:space="preserve"> and </w:t>
            </w:r>
            <w:proofErr w:type="spellStart"/>
            <w:r w:rsidRPr="0095297E">
              <w:rPr>
                <w:szCs w:val="24"/>
                <w:lang w:eastAsia="en-US"/>
              </w:rPr>
              <w:t>comparison</w:t>
            </w:r>
            <w:proofErr w:type="spellEnd"/>
            <w:r w:rsidRPr="0095297E">
              <w:rPr>
                <w:szCs w:val="24"/>
                <w:lang w:eastAsia="en-US"/>
              </w:rPr>
              <w:t xml:space="preserve"> </w:t>
            </w:r>
            <w:proofErr w:type="spellStart"/>
            <w:r w:rsidRPr="0095297E">
              <w:rPr>
                <w:szCs w:val="24"/>
                <w:lang w:eastAsia="en-US"/>
              </w:rPr>
              <w:t>of</w:t>
            </w:r>
            <w:proofErr w:type="spellEnd"/>
            <w:r w:rsidRPr="0095297E">
              <w:rPr>
                <w:szCs w:val="24"/>
                <w:lang w:eastAsia="en-US"/>
              </w:rPr>
              <w:t xml:space="preserve"> </w:t>
            </w:r>
            <w:proofErr w:type="spellStart"/>
            <w:r w:rsidRPr="0095297E">
              <w:rPr>
                <w:szCs w:val="24"/>
                <w:lang w:eastAsia="en-US"/>
              </w:rPr>
              <w:t>both</w:t>
            </w:r>
            <w:proofErr w:type="spellEnd"/>
            <w:r w:rsidRPr="0095297E">
              <w:rPr>
                <w:szCs w:val="24"/>
                <w:lang w:eastAsia="en-US"/>
              </w:rPr>
              <w:t xml:space="preserve"> </w:t>
            </w:r>
            <w:proofErr w:type="spellStart"/>
            <w:r w:rsidRPr="0095297E">
              <w:rPr>
                <w:szCs w:val="24"/>
                <w:lang w:eastAsia="en-US"/>
              </w:rPr>
              <w:t>countries</w:t>
            </w:r>
            <w:proofErr w:type="spellEnd"/>
            <w:r w:rsidRPr="0095297E">
              <w:rPr>
                <w:szCs w:val="24"/>
                <w:lang w:eastAsia="en-US"/>
              </w:rPr>
              <w:t xml:space="preserve"> </w:t>
            </w:r>
            <w:proofErr w:type="spellStart"/>
            <w:r w:rsidRPr="0095297E">
              <w:rPr>
                <w:szCs w:val="24"/>
                <w:lang w:eastAsia="en-US"/>
              </w:rPr>
              <w:t>according</w:t>
            </w:r>
            <w:proofErr w:type="spellEnd"/>
            <w:r w:rsidRPr="0095297E">
              <w:rPr>
                <w:szCs w:val="24"/>
                <w:lang w:eastAsia="en-US"/>
              </w:rPr>
              <w:t xml:space="preserve"> to EUROSTAT </w:t>
            </w:r>
            <w:proofErr w:type="spellStart"/>
            <w:r w:rsidRPr="0095297E">
              <w:rPr>
                <w:szCs w:val="24"/>
                <w:lang w:eastAsia="en-US"/>
              </w:rPr>
              <w:t>indicators</w:t>
            </w:r>
            <w:proofErr w:type="spellEnd"/>
            <w:r w:rsidRPr="0095297E">
              <w:rPr>
                <w:szCs w:val="24"/>
                <w:lang w:eastAsia="en-US"/>
              </w:rPr>
              <w:t>;</w:t>
            </w:r>
          </w:p>
          <w:p w14:paraId="2B4CD031" w14:textId="77777777" w:rsidR="005B3D26" w:rsidRDefault="0095297E" w:rsidP="0095297E">
            <w:pPr>
              <w:spacing w:after="20"/>
              <w:ind w:left="360"/>
              <w:jc w:val="left"/>
              <w:rPr>
                <w:szCs w:val="24"/>
                <w:lang w:eastAsia="en-US"/>
              </w:rPr>
            </w:pPr>
            <w:r w:rsidRPr="0095297E">
              <w:rPr>
                <w:szCs w:val="24"/>
                <w:lang w:eastAsia="en-US"/>
              </w:rPr>
              <w:t xml:space="preserve">- </w:t>
            </w:r>
            <w:proofErr w:type="spellStart"/>
            <w:r w:rsidRPr="0095297E">
              <w:rPr>
                <w:szCs w:val="24"/>
                <w:lang w:eastAsia="en-US"/>
              </w:rPr>
              <w:t>Evaluate</w:t>
            </w:r>
            <w:proofErr w:type="spellEnd"/>
            <w:r w:rsidRPr="0095297E">
              <w:rPr>
                <w:szCs w:val="24"/>
                <w:lang w:eastAsia="en-US"/>
              </w:rPr>
              <w:t xml:space="preserve"> </w:t>
            </w: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results</w:t>
            </w:r>
            <w:proofErr w:type="spellEnd"/>
            <w:r w:rsidRPr="0095297E">
              <w:rPr>
                <w:szCs w:val="24"/>
                <w:lang w:eastAsia="en-US"/>
              </w:rPr>
              <w:t xml:space="preserve"> and </w:t>
            </w:r>
            <w:proofErr w:type="spellStart"/>
            <w:r w:rsidRPr="0095297E">
              <w:rPr>
                <w:szCs w:val="24"/>
                <w:lang w:eastAsia="en-US"/>
              </w:rPr>
              <w:t>recommendations</w:t>
            </w:r>
            <w:proofErr w:type="spellEnd"/>
            <w:r w:rsidRPr="0095297E">
              <w:rPr>
                <w:szCs w:val="24"/>
                <w:lang w:eastAsia="en-US"/>
              </w:rPr>
              <w:t xml:space="preserve"> </w:t>
            </w:r>
            <w:proofErr w:type="spellStart"/>
            <w:r w:rsidRPr="0095297E">
              <w:rPr>
                <w:szCs w:val="24"/>
                <w:lang w:eastAsia="en-US"/>
              </w:rPr>
              <w:t>of</w:t>
            </w:r>
            <w:proofErr w:type="spellEnd"/>
            <w:r w:rsidRPr="0095297E">
              <w:rPr>
                <w:szCs w:val="24"/>
                <w:lang w:eastAsia="en-US"/>
              </w:rPr>
              <w:t xml:space="preserve"> </w:t>
            </w:r>
            <w:proofErr w:type="spellStart"/>
            <w:r w:rsidRPr="0095297E">
              <w:rPr>
                <w:szCs w:val="24"/>
                <w:lang w:eastAsia="en-US"/>
              </w:rPr>
              <w:t>solutions</w:t>
            </w:r>
            <w:proofErr w:type="spellEnd"/>
            <w:r w:rsidRPr="0095297E">
              <w:rPr>
                <w:szCs w:val="24"/>
                <w:lang w:eastAsia="en-US"/>
              </w:rPr>
              <w:t xml:space="preserve"> and </w:t>
            </w:r>
            <w:proofErr w:type="spellStart"/>
            <w:r w:rsidRPr="0095297E">
              <w:rPr>
                <w:szCs w:val="24"/>
                <w:lang w:eastAsia="en-US"/>
              </w:rPr>
              <w:t>practices</w:t>
            </w:r>
            <w:proofErr w:type="spellEnd"/>
            <w:r w:rsidRPr="0095297E">
              <w:rPr>
                <w:szCs w:val="24"/>
                <w:lang w:eastAsia="en-US"/>
              </w:rPr>
              <w:t xml:space="preserve"> to </w:t>
            </w:r>
            <w:proofErr w:type="spellStart"/>
            <w:r w:rsidRPr="0095297E">
              <w:rPr>
                <w:szCs w:val="24"/>
                <w:lang w:eastAsia="en-US"/>
              </w:rPr>
              <w:t>improve</w:t>
            </w:r>
            <w:proofErr w:type="spellEnd"/>
            <w:r w:rsidRPr="0095297E">
              <w:rPr>
                <w:szCs w:val="24"/>
                <w:lang w:eastAsia="en-US"/>
              </w:rPr>
              <w:t xml:space="preserve"> </w:t>
            </w: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economic</w:t>
            </w:r>
            <w:proofErr w:type="spellEnd"/>
            <w:r w:rsidRPr="0095297E">
              <w:rPr>
                <w:szCs w:val="24"/>
                <w:lang w:eastAsia="en-US"/>
              </w:rPr>
              <w:t xml:space="preserve"> and </w:t>
            </w:r>
            <w:proofErr w:type="spellStart"/>
            <w:r w:rsidRPr="0095297E">
              <w:rPr>
                <w:szCs w:val="24"/>
                <w:lang w:eastAsia="en-US"/>
              </w:rPr>
              <w:t>political</w:t>
            </w:r>
            <w:proofErr w:type="spellEnd"/>
            <w:r w:rsidRPr="0095297E">
              <w:rPr>
                <w:szCs w:val="24"/>
                <w:lang w:eastAsia="en-US"/>
              </w:rPr>
              <w:t xml:space="preserve"> </w:t>
            </w:r>
            <w:proofErr w:type="spellStart"/>
            <w:r w:rsidRPr="0095297E">
              <w:rPr>
                <w:szCs w:val="24"/>
                <w:lang w:eastAsia="en-US"/>
              </w:rPr>
              <w:t>situation</w:t>
            </w:r>
            <w:proofErr w:type="spellEnd"/>
          </w:p>
          <w:p w14:paraId="5E581877" w14:textId="411DB245" w:rsidR="0095297E" w:rsidRPr="0069514D" w:rsidRDefault="0095297E" w:rsidP="0095297E">
            <w:pPr>
              <w:spacing w:after="20"/>
              <w:ind w:left="360"/>
              <w:jc w:val="left"/>
              <w:rPr>
                <w:rFonts w:ascii="Verdana" w:hAnsi="Verdana"/>
                <w:b/>
                <w:szCs w:val="24"/>
                <w:lang w:eastAsia="en-US"/>
              </w:rPr>
            </w:pPr>
          </w:p>
        </w:tc>
      </w:tr>
      <w:tr w:rsidR="00A37998" w:rsidRPr="0069514D" w14:paraId="4817487E" w14:textId="77777777" w:rsidTr="0095297E">
        <w:trPr>
          <w:trHeight w:val="1954"/>
        </w:trPr>
        <w:tc>
          <w:tcPr>
            <w:tcW w:w="8644" w:type="dxa"/>
            <w:tcBorders>
              <w:top w:val="single" w:sz="4" w:space="0" w:color="auto"/>
              <w:left w:val="single" w:sz="4" w:space="0" w:color="auto"/>
              <w:bottom w:val="single" w:sz="4" w:space="0" w:color="auto"/>
              <w:right w:val="single" w:sz="4" w:space="0" w:color="auto"/>
            </w:tcBorders>
          </w:tcPr>
          <w:p w14:paraId="4C67EA72" w14:textId="07743DAD" w:rsidR="005B3D26" w:rsidRPr="0095297E" w:rsidRDefault="00997489" w:rsidP="0095297E">
            <w:pPr>
              <w:spacing w:after="20"/>
              <w:ind w:left="426" w:hanging="426"/>
              <w:rPr>
                <w:b/>
                <w:sz w:val="22"/>
                <w:szCs w:val="22"/>
                <w:lang w:eastAsia="en-US"/>
              </w:rPr>
            </w:pPr>
            <w:r w:rsidRPr="0069514D">
              <w:rPr>
                <w:rFonts w:ascii="Verdana" w:hAnsi="Verdana"/>
                <w:b/>
                <w:sz w:val="22"/>
                <w:szCs w:val="22"/>
                <w:lang w:eastAsia="en-US"/>
              </w:rPr>
              <w:t xml:space="preserve">2.  </w:t>
            </w:r>
            <w:r w:rsidR="00A37998" w:rsidRPr="0069514D">
              <w:rPr>
                <w:rFonts w:ascii="Verdana" w:hAnsi="Verdana"/>
                <w:b/>
                <w:sz w:val="22"/>
                <w:szCs w:val="22"/>
                <w:lang w:eastAsia="en-US"/>
              </w:rPr>
              <w:t>Research methods:</w:t>
            </w:r>
            <w:r w:rsidR="00B048B7" w:rsidRPr="0069514D">
              <w:rPr>
                <w:rFonts w:ascii="Verdana" w:hAnsi="Verdana"/>
                <w:b/>
                <w:sz w:val="22"/>
                <w:szCs w:val="22"/>
                <w:lang w:eastAsia="en-US"/>
              </w:rPr>
              <w:t xml:space="preserve"> </w:t>
            </w:r>
          </w:p>
          <w:p w14:paraId="670C73E2" w14:textId="2E9E7D7B" w:rsidR="005B3D26" w:rsidRPr="0095297E" w:rsidRDefault="005B3D26" w:rsidP="0095297E">
            <w:pPr>
              <w:spacing w:after="20"/>
              <w:rPr>
                <w:szCs w:val="24"/>
                <w:lang w:eastAsia="en-US"/>
              </w:rPr>
            </w:pPr>
            <w:r w:rsidRPr="005B3D26">
              <w:rPr>
                <w:szCs w:val="24"/>
                <w:lang w:eastAsia="en-US"/>
              </w:rPr>
              <w:t>The main research method was used method of comparison. Another source for th</w:t>
            </w:r>
            <w:r>
              <w:rPr>
                <w:szCs w:val="24"/>
                <w:lang w:eastAsia="en-US"/>
              </w:rPr>
              <w:t xml:space="preserve">is </w:t>
            </w:r>
            <w:r w:rsidRPr="005B3D26">
              <w:rPr>
                <w:szCs w:val="24"/>
                <w:lang w:eastAsia="en-US"/>
              </w:rPr>
              <w:t>seminal work,</w:t>
            </w:r>
            <w:r>
              <w:rPr>
                <w:szCs w:val="24"/>
                <w:lang w:eastAsia="en-US"/>
              </w:rPr>
              <w:t xml:space="preserve"> was</w:t>
            </w:r>
            <w:r w:rsidRPr="005B3D26">
              <w:rPr>
                <w:szCs w:val="24"/>
                <w:lang w:eastAsia="en-US"/>
              </w:rPr>
              <w:t xml:space="preserve"> the official online resource of the European Commission - Eurostat. For the sake of individual points and issues were based on the expertise really made the charts </w:t>
            </w:r>
            <w:proofErr w:type="spellStart"/>
            <w:r w:rsidRPr="005B3D26">
              <w:rPr>
                <w:szCs w:val="24"/>
                <w:lang w:eastAsia="en-US"/>
              </w:rPr>
              <w:t>with</w:t>
            </w:r>
            <w:proofErr w:type="spellEnd"/>
            <w:r w:rsidRPr="005B3D26">
              <w:rPr>
                <w:szCs w:val="24"/>
                <w:lang w:eastAsia="en-US"/>
              </w:rPr>
              <w:t xml:space="preserve"> his </w:t>
            </w:r>
            <w:proofErr w:type="spellStart"/>
            <w:r w:rsidRPr="005B3D26">
              <w:rPr>
                <w:szCs w:val="24"/>
                <w:lang w:eastAsia="en-US"/>
              </w:rPr>
              <w:t>own</w:t>
            </w:r>
            <w:proofErr w:type="spellEnd"/>
            <w:r w:rsidRPr="005B3D26">
              <w:rPr>
                <w:szCs w:val="24"/>
                <w:lang w:eastAsia="en-US"/>
              </w:rPr>
              <w:t xml:space="preserve"> </w:t>
            </w:r>
            <w:proofErr w:type="spellStart"/>
            <w:r w:rsidRPr="005B3D26">
              <w:rPr>
                <w:szCs w:val="24"/>
                <w:lang w:eastAsia="en-US"/>
              </w:rPr>
              <w:t>arrangements</w:t>
            </w:r>
            <w:proofErr w:type="spellEnd"/>
            <w:r w:rsidRPr="005B3D26">
              <w:rPr>
                <w:szCs w:val="24"/>
                <w:lang w:eastAsia="en-US"/>
              </w:rPr>
              <w:t>.</w:t>
            </w:r>
          </w:p>
        </w:tc>
      </w:tr>
      <w:tr w:rsidR="00A37998" w:rsidRPr="0069514D" w14:paraId="462644E5" w14:textId="77777777" w:rsidTr="004C2708">
        <w:trPr>
          <w:trHeight w:val="1588"/>
        </w:trPr>
        <w:tc>
          <w:tcPr>
            <w:tcW w:w="8644" w:type="dxa"/>
            <w:tcBorders>
              <w:top w:val="single" w:sz="4" w:space="0" w:color="auto"/>
              <w:left w:val="single" w:sz="4" w:space="0" w:color="auto"/>
              <w:bottom w:val="single" w:sz="4" w:space="0" w:color="auto"/>
              <w:right w:val="single" w:sz="4" w:space="0" w:color="auto"/>
            </w:tcBorders>
          </w:tcPr>
          <w:p w14:paraId="2E4A0ACB" w14:textId="6DB30283" w:rsidR="0069514D" w:rsidRPr="0095297E" w:rsidRDefault="00997489" w:rsidP="0095297E">
            <w:pPr>
              <w:spacing w:after="20"/>
              <w:ind w:left="426" w:hanging="426"/>
              <w:rPr>
                <w:b/>
                <w:sz w:val="22"/>
                <w:szCs w:val="22"/>
                <w:lang w:eastAsia="en-US"/>
              </w:rPr>
            </w:pPr>
            <w:r w:rsidRPr="0069514D">
              <w:rPr>
                <w:rFonts w:ascii="Verdana" w:hAnsi="Verdana"/>
                <w:b/>
                <w:sz w:val="22"/>
                <w:szCs w:val="22"/>
                <w:lang w:eastAsia="en-US"/>
              </w:rPr>
              <w:t xml:space="preserve">3.  </w:t>
            </w:r>
            <w:proofErr w:type="spellStart"/>
            <w:r w:rsidR="00A37998" w:rsidRPr="0069514D">
              <w:rPr>
                <w:rFonts w:ascii="Verdana" w:hAnsi="Verdana"/>
                <w:b/>
                <w:sz w:val="22"/>
                <w:szCs w:val="22"/>
                <w:lang w:eastAsia="en-US"/>
              </w:rPr>
              <w:t>Result</w:t>
            </w:r>
            <w:proofErr w:type="spellEnd"/>
            <w:r w:rsidR="00A37998" w:rsidRPr="0069514D">
              <w:rPr>
                <w:rFonts w:ascii="Verdana" w:hAnsi="Verdana"/>
                <w:b/>
                <w:sz w:val="22"/>
                <w:szCs w:val="22"/>
                <w:lang w:eastAsia="en-US"/>
              </w:rPr>
              <w:t xml:space="preserve"> </w:t>
            </w:r>
            <w:proofErr w:type="spellStart"/>
            <w:r w:rsidR="00A37998" w:rsidRPr="0069514D">
              <w:rPr>
                <w:rFonts w:ascii="Verdana" w:hAnsi="Verdana"/>
                <w:b/>
                <w:sz w:val="22"/>
                <w:szCs w:val="22"/>
                <w:lang w:eastAsia="en-US"/>
              </w:rPr>
              <w:t>of</w:t>
            </w:r>
            <w:proofErr w:type="spellEnd"/>
            <w:r w:rsidR="00A37998" w:rsidRPr="0069514D">
              <w:rPr>
                <w:rFonts w:ascii="Verdana" w:hAnsi="Verdana"/>
                <w:b/>
                <w:sz w:val="22"/>
                <w:szCs w:val="22"/>
                <w:lang w:eastAsia="en-US"/>
              </w:rPr>
              <w:t xml:space="preserve"> </w:t>
            </w:r>
            <w:proofErr w:type="spellStart"/>
            <w:r w:rsidR="00A37998" w:rsidRPr="0069514D">
              <w:rPr>
                <w:rFonts w:ascii="Verdana" w:hAnsi="Verdana"/>
                <w:b/>
                <w:sz w:val="22"/>
                <w:szCs w:val="22"/>
                <w:lang w:eastAsia="en-US"/>
              </w:rPr>
              <w:t>research</w:t>
            </w:r>
            <w:proofErr w:type="spellEnd"/>
            <w:r w:rsidR="00A37998" w:rsidRPr="0069514D">
              <w:rPr>
                <w:rFonts w:ascii="Verdana" w:hAnsi="Verdana"/>
                <w:b/>
                <w:sz w:val="22"/>
                <w:szCs w:val="22"/>
                <w:lang w:eastAsia="en-US"/>
              </w:rPr>
              <w:t>:</w:t>
            </w:r>
          </w:p>
          <w:p w14:paraId="698CE3FD" w14:textId="77777777" w:rsidR="005B3D26" w:rsidRDefault="005B3D26" w:rsidP="00625F4B">
            <w:pPr>
              <w:spacing w:after="20"/>
              <w:rPr>
                <w:szCs w:val="24"/>
                <w:lang w:eastAsia="en-US"/>
              </w:rPr>
            </w:pPr>
            <w:r w:rsidRPr="005B3D26">
              <w:rPr>
                <w:szCs w:val="24"/>
                <w:lang w:eastAsia="en-US"/>
              </w:rPr>
              <w:t>According to the detected values of selected macroeconomic and structural indicators of employment and unemployment, Czech Republic can be evaluated as more advanced and more powerful than the economy of</w:t>
            </w:r>
            <w:r>
              <w:rPr>
                <w:szCs w:val="24"/>
                <w:lang w:eastAsia="en-US"/>
              </w:rPr>
              <w:t xml:space="preserve"> the second comparator countri</w:t>
            </w:r>
            <w:r w:rsidRPr="005B3D26">
              <w:rPr>
                <w:szCs w:val="24"/>
                <w:lang w:eastAsia="en-US"/>
              </w:rPr>
              <w:t>, Poland. Czech Republic has some indicators even better results than the results of the EU (28). It can be stated that Poland faces the problem of unemployment among young and older women. Poor outcomes is also a growing problem of employment of young people (15 to 24 year old) and generally in both countries and EU Member States (28)</w:t>
            </w:r>
          </w:p>
          <w:p w14:paraId="5D133D5F" w14:textId="77777777" w:rsidR="005B3D26" w:rsidRPr="005B3D26" w:rsidRDefault="005B3D26" w:rsidP="00625F4B">
            <w:pPr>
              <w:spacing w:after="20"/>
              <w:rPr>
                <w:szCs w:val="24"/>
                <w:lang w:eastAsia="en-US"/>
              </w:rPr>
            </w:pPr>
          </w:p>
        </w:tc>
      </w:tr>
      <w:tr w:rsidR="00A37998" w:rsidRPr="0069514D" w14:paraId="3C060A7A" w14:textId="77777777" w:rsidTr="0095297E">
        <w:trPr>
          <w:trHeight w:val="2052"/>
        </w:trPr>
        <w:tc>
          <w:tcPr>
            <w:tcW w:w="8644" w:type="dxa"/>
            <w:tcBorders>
              <w:top w:val="single" w:sz="4" w:space="0" w:color="auto"/>
              <w:left w:val="single" w:sz="4" w:space="0" w:color="auto"/>
              <w:bottom w:val="single" w:sz="4" w:space="0" w:color="auto"/>
              <w:right w:val="single" w:sz="4" w:space="0" w:color="auto"/>
            </w:tcBorders>
          </w:tcPr>
          <w:p w14:paraId="0D225873" w14:textId="7F04941C" w:rsidR="0069514D" w:rsidRPr="0095297E" w:rsidRDefault="004C2708" w:rsidP="0095297E">
            <w:pPr>
              <w:spacing w:after="20"/>
              <w:ind w:left="360" w:hanging="360"/>
              <w:jc w:val="left"/>
              <w:rPr>
                <w:b/>
                <w:sz w:val="22"/>
                <w:szCs w:val="22"/>
                <w:lang w:eastAsia="en-US"/>
              </w:rPr>
            </w:pPr>
            <w:r w:rsidRPr="0069514D">
              <w:rPr>
                <w:rFonts w:ascii="Verdana" w:hAnsi="Verdana"/>
                <w:b/>
                <w:sz w:val="22"/>
                <w:szCs w:val="22"/>
                <w:lang w:eastAsia="en-US"/>
              </w:rPr>
              <w:t xml:space="preserve">4.  </w:t>
            </w:r>
            <w:r w:rsidR="00A37998" w:rsidRPr="0069514D">
              <w:rPr>
                <w:rFonts w:ascii="Verdana" w:hAnsi="Verdana"/>
                <w:b/>
                <w:sz w:val="22"/>
                <w:szCs w:val="22"/>
                <w:lang w:eastAsia="en-US"/>
              </w:rPr>
              <w:t>Conclusions and recommendation:</w:t>
            </w:r>
            <w:r w:rsidR="00B048B7" w:rsidRPr="0069514D">
              <w:rPr>
                <w:rFonts w:ascii="Verdana" w:hAnsi="Verdana"/>
                <w:b/>
                <w:sz w:val="22"/>
                <w:szCs w:val="22"/>
                <w:lang w:eastAsia="en-US"/>
              </w:rPr>
              <w:t xml:space="preserve"> </w:t>
            </w:r>
          </w:p>
          <w:p w14:paraId="79A7F75C" w14:textId="77777777" w:rsidR="005B3D26" w:rsidRPr="005B3D26" w:rsidRDefault="005B3D26" w:rsidP="0095297E">
            <w:pPr>
              <w:spacing w:after="20"/>
              <w:rPr>
                <w:szCs w:val="24"/>
                <w:lang w:eastAsia="en-US"/>
              </w:rPr>
            </w:pPr>
            <w:r w:rsidRPr="005B3D26">
              <w:rPr>
                <w:szCs w:val="24"/>
                <w:lang w:eastAsia="en-US"/>
              </w:rPr>
              <w:t>Poland recognized in the period the improving trend in the labor market. Despite this fact, in most monitored indicators is worth less th</w:t>
            </w:r>
            <w:r>
              <w:rPr>
                <w:szCs w:val="24"/>
                <w:lang w:eastAsia="en-US"/>
              </w:rPr>
              <w:t xml:space="preserve">an the Czech Republic. This fact may </w:t>
            </w:r>
            <w:r w:rsidRPr="005B3D26">
              <w:rPr>
                <w:szCs w:val="24"/>
                <w:lang w:eastAsia="en-US"/>
              </w:rPr>
              <w:t>be in Poland in the future decisive factor, because labor productivity contributes to maintaining the standard of living of the population. Czech Republic, on the contrary stands in some cases better than the EU average (28).</w:t>
            </w:r>
          </w:p>
          <w:p w14:paraId="3BC97E7B" w14:textId="77777777" w:rsidR="005B3D26" w:rsidRPr="0069514D" w:rsidRDefault="005B3D26" w:rsidP="00625F4B">
            <w:pPr>
              <w:spacing w:after="20"/>
              <w:ind w:left="360" w:hanging="360"/>
              <w:jc w:val="left"/>
              <w:rPr>
                <w:b/>
                <w:szCs w:val="24"/>
                <w:lang w:eastAsia="en-US"/>
              </w:rPr>
            </w:pPr>
          </w:p>
        </w:tc>
      </w:tr>
    </w:tbl>
    <w:p w14:paraId="4ECCC356" w14:textId="77777777" w:rsidR="00A37998" w:rsidRPr="0069514D" w:rsidRDefault="00A37998" w:rsidP="00625F4B">
      <w:pPr>
        <w:spacing w:after="20"/>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4"/>
      </w:tblGrid>
      <w:tr w:rsidR="00A37998" w:rsidRPr="0069514D" w14:paraId="4BFD4944" w14:textId="77777777" w:rsidTr="00691F1F">
        <w:tc>
          <w:tcPr>
            <w:tcW w:w="8644" w:type="dxa"/>
            <w:tcBorders>
              <w:top w:val="single" w:sz="4" w:space="0" w:color="auto"/>
              <w:left w:val="single" w:sz="4" w:space="0" w:color="auto"/>
              <w:bottom w:val="single" w:sz="4" w:space="0" w:color="auto"/>
              <w:right w:val="single" w:sz="4" w:space="0" w:color="auto"/>
            </w:tcBorders>
            <w:shd w:val="clear" w:color="auto" w:fill="F3F3F3"/>
          </w:tcPr>
          <w:p w14:paraId="206E8BFE" w14:textId="77777777" w:rsidR="00A37998" w:rsidRPr="0069514D" w:rsidRDefault="00A37998" w:rsidP="00625F4B">
            <w:pPr>
              <w:spacing w:after="20"/>
              <w:jc w:val="center"/>
              <w:rPr>
                <w:rFonts w:ascii="Verdana" w:hAnsi="Verdana"/>
                <w:b/>
                <w:sz w:val="22"/>
                <w:szCs w:val="22"/>
                <w:lang w:eastAsia="en-US"/>
              </w:rPr>
            </w:pPr>
            <w:r w:rsidRPr="0069514D">
              <w:rPr>
                <w:rFonts w:ascii="Verdana" w:hAnsi="Verdana"/>
                <w:b/>
                <w:bCs/>
                <w:sz w:val="22"/>
                <w:szCs w:val="22"/>
                <w:lang w:eastAsia="en-US"/>
              </w:rPr>
              <w:t>KEYWORDS</w:t>
            </w:r>
          </w:p>
        </w:tc>
      </w:tr>
      <w:tr w:rsidR="00A37998" w:rsidRPr="0069514D" w14:paraId="5174CAFD" w14:textId="77777777" w:rsidTr="0095297E">
        <w:trPr>
          <w:trHeight w:val="1016"/>
        </w:trPr>
        <w:tc>
          <w:tcPr>
            <w:tcW w:w="8644" w:type="dxa"/>
            <w:tcBorders>
              <w:top w:val="single" w:sz="4" w:space="0" w:color="auto"/>
              <w:left w:val="single" w:sz="4" w:space="0" w:color="auto"/>
              <w:bottom w:val="single" w:sz="4" w:space="0" w:color="auto"/>
              <w:right w:val="single" w:sz="4" w:space="0" w:color="auto"/>
            </w:tcBorders>
          </w:tcPr>
          <w:p w14:paraId="434E1056" w14:textId="24D59E2B" w:rsidR="00A37998" w:rsidRPr="0095297E" w:rsidRDefault="005B3D26" w:rsidP="0095297E">
            <w:pPr>
              <w:spacing w:after="20"/>
              <w:rPr>
                <w:rFonts w:ascii="Verdana" w:hAnsi="Verdana"/>
                <w:b/>
                <w:sz w:val="22"/>
                <w:szCs w:val="22"/>
                <w:lang w:eastAsia="en-US"/>
              </w:rPr>
            </w:pPr>
            <w:proofErr w:type="spellStart"/>
            <w:r w:rsidRPr="0095297E">
              <w:rPr>
                <w:szCs w:val="24"/>
                <w:lang w:eastAsia="en-US"/>
              </w:rPr>
              <w:t>The</w:t>
            </w:r>
            <w:proofErr w:type="spellEnd"/>
            <w:r w:rsidRPr="0095297E">
              <w:rPr>
                <w:szCs w:val="24"/>
                <w:lang w:eastAsia="en-US"/>
              </w:rPr>
              <w:t xml:space="preserve"> </w:t>
            </w:r>
            <w:proofErr w:type="spellStart"/>
            <w:r w:rsidRPr="0095297E">
              <w:rPr>
                <w:szCs w:val="24"/>
                <w:lang w:eastAsia="en-US"/>
              </w:rPr>
              <w:t>European</w:t>
            </w:r>
            <w:proofErr w:type="spellEnd"/>
            <w:r w:rsidRPr="0095297E">
              <w:rPr>
                <w:szCs w:val="24"/>
                <w:lang w:eastAsia="en-US"/>
              </w:rPr>
              <w:t xml:space="preserve"> Union, </w:t>
            </w:r>
            <w:proofErr w:type="spellStart"/>
            <w:r w:rsidRPr="0095297E">
              <w:rPr>
                <w:szCs w:val="24"/>
                <w:lang w:eastAsia="en-US"/>
              </w:rPr>
              <w:t>macroeconomic</w:t>
            </w:r>
            <w:proofErr w:type="spellEnd"/>
            <w:r w:rsidRPr="0095297E">
              <w:rPr>
                <w:szCs w:val="24"/>
                <w:lang w:eastAsia="en-US"/>
              </w:rPr>
              <w:t xml:space="preserve"> indicators, employment, unemployment, Czech Republic, </w:t>
            </w:r>
            <w:proofErr w:type="spellStart"/>
            <w:r w:rsidRPr="0095297E">
              <w:rPr>
                <w:szCs w:val="24"/>
                <w:lang w:eastAsia="en-US"/>
              </w:rPr>
              <w:t>Poland</w:t>
            </w:r>
            <w:proofErr w:type="spellEnd"/>
            <w:r w:rsidRPr="0095297E">
              <w:rPr>
                <w:szCs w:val="24"/>
                <w:lang w:eastAsia="en-US"/>
              </w:rPr>
              <w:t xml:space="preserve">, gross </w:t>
            </w:r>
            <w:proofErr w:type="spellStart"/>
            <w:r w:rsidRPr="0095297E">
              <w:rPr>
                <w:szCs w:val="24"/>
                <w:lang w:eastAsia="en-US"/>
              </w:rPr>
              <w:t>domestic</w:t>
            </w:r>
            <w:proofErr w:type="spellEnd"/>
            <w:r w:rsidRPr="0095297E">
              <w:rPr>
                <w:szCs w:val="24"/>
                <w:lang w:eastAsia="en-US"/>
              </w:rPr>
              <w:t xml:space="preserve"> </w:t>
            </w:r>
            <w:proofErr w:type="spellStart"/>
            <w:r w:rsidRPr="0095297E">
              <w:rPr>
                <w:szCs w:val="24"/>
                <w:lang w:eastAsia="en-US"/>
              </w:rPr>
              <w:t>product</w:t>
            </w:r>
            <w:proofErr w:type="spellEnd"/>
            <w:r w:rsidRPr="0095297E">
              <w:rPr>
                <w:szCs w:val="24"/>
                <w:lang w:eastAsia="en-US"/>
              </w:rPr>
              <w:t>.</w:t>
            </w:r>
          </w:p>
        </w:tc>
      </w:tr>
      <w:tr w:rsidR="00A37998" w:rsidRPr="0069514D" w14:paraId="6D188914" w14:textId="77777777" w:rsidTr="00691F1F">
        <w:tc>
          <w:tcPr>
            <w:tcW w:w="8644" w:type="dxa"/>
            <w:tcBorders>
              <w:top w:val="single" w:sz="4" w:space="0" w:color="auto"/>
              <w:left w:val="single" w:sz="4" w:space="0" w:color="auto"/>
              <w:bottom w:val="single" w:sz="4" w:space="0" w:color="auto"/>
              <w:right w:val="single" w:sz="4" w:space="0" w:color="auto"/>
            </w:tcBorders>
            <w:shd w:val="clear" w:color="auto" w:fill="F3F3F3"/>
          </w:tcPr>
          <w:p w14:paraId="089C3E8E" w14:textId="77777777" w:rsidR="00A37998" w:rsidRPr="0069514D" w:rsidRDefault="00A37998" w:rsidP="00625F4B">
            <w:pPr>
              <w:spacing w:after="20"/>
              <w:jc w:val="center"/>
              <w:rPr>
                <w:rFonts w:ascii="Verdana" w:hAnsi="Verdana"/>
                <w:b/>
                <w:sz w:val="22"/>
                <w:szCs w:val="22"/>
                <w:lang w:eastAsia="en-US"/>
              </w:rPr>
            </w:pPr>
            <w:r w:rsidRPr="0069514D">
              <w:rPr>
                <w:rFonts w:ascii="Verdana" w:hAnsi="Verdana"/>
                <w:b/>
                <w:bCs/>
                <w:sz w:val="22"/>
                <w:szCs w:val="22"/>
                <w:lang w:eastAsia="en-US"/>
              </w:rPr>
              <w:t>JEL Classification</w:t>
            </w:r>
          </w:p>
        </w:tc>
      </w:tr>
      <w:tr w:rsidR="00A37998" w:rsidRPr="0069514D" w14:paraId="6ABD7802" w14:textId="77777777" w:rsidTr="000D6A6F">
        <w:trPr>
          <w:trHeight w:val="1340"/>
        </w:trPr>
        <w:tc>
          <w:tcPr>
            <w:tcW w:w="8644" w:type="dxa"/>
            <w:tcBorders>
              <w:top w:val="single" w:sz="4" w:space="0" w:color="auto"/>
              <w:left w:val="single" w:sz="4" w:space="0" w:color="auto"/>
              <w:bottom w:val="single" w:sz="4" w:space="0" w:color="auto"/>
              <w:right w:val="single" w:sz="4" w:space="0" w:color="auto"/>
            </w:tcBorders>
          </w:tcPr>
          <w:p w14:paraId="614FA6A5" w14:textId="77777777" w:rsidR="005A7DF2" w:rsidRPr="0095297E" w:rsidRDefault="005A7DF2" w:rsidP="00625F4B">
            <w:pPr>
              <w:spacing w:after="20"/>
              <w:rPr>
                <w:szCs w:val="24"/>
                <w:lang w:eastAsia="en-US"/>
              </w:rPr>
            </w:pPr>
            <w:r w:rsidRPr="0095297E">
              <w:rPr>
                <w:szCs w:val="24"/>
                <w:lang w:eastAsia="en-US"/>
              </w:rPr>
              <w:t>E00: General</w:t>
            </w:r>
          </w:p>
          <w:p w14:paraId="47B8F4D0" w14:textId="763ED189" w:rsidR="005A7DF2" w:rsidRPr="0095297E" w:rsidRDefault="00536C5C" w:rsidP="00625F4B">
            <w:pPr>
              <w:spacing w:after="20"/>
              <w:rPr>
                <w:szCs w:val="24"/>
                <w:lang w:eastAsia="en-US"/>
              </w:rPr>
            </w:pPr>
            <w:r w:rsidRPr="0095297E">
              <w:rPr>
                <w:szCs w:val="24"/>
                <w:lang w:eastAsia="en-US"/>
              </w:rPr>
              <w:t xml:space="preserve">E24: Employment, Unemployment, Wages, </w:t>
            </w:r>
            <w:r w:rsidR="005A7DF2" w:rsidRPr="0095297E">
              <w:rPr>
                <w:szCs w:val="24"/>
                <w:lang w:eastAsia="en-US"/>
              </w:rPr>
              <w:t>Interge</w:t>
            </w:r>
            <w:r w:rsidRPr="0095297E">
              <w:rPr>
                <w:szCs w:val="24"/>
                <w:lang w:eastAsia="en-US"/>
              </w:rPr>
              <w:t>nerational Income Distribution, Aggregate Human Capital,</w:t>
            </w:r>
            <w:r w:rsidR="005A7DF2" w:rsidRPr="0095297E">
              <w:rPr>
                <w:szCs w:val="24"/>
                <w:lang w:eastAsia="en-US"/>
              </w:rPr>
              <w:t xml:space="preserve"> Aggregate Labor Productivity</w:t>
            </w:r>
          </w:p>
          <w:p w14:paraId="1D94A67B" w14:textId="77777777" w:rsidR="00A37998" w:rsidRPr="0095297E" w:rsidRDefault="005A7DF2" w:rsidP="00625F4B">
            <w:pPr>
              <w:spacing w:after="20"/>
              <w:rPr>
                <w:szCs w:val="24"/>
                <w:lang w:eastAsia="en-US"/>
              </w:rPr>
            </w:pPr>
            <w:r w:rsidRPr="0095297E">
              <w:rPr>
                <w:szCs w:val="24"/>
                <w:lang w:eastAsia="en-US"/>
              </w:rPr>
              <w:t>J21: Labor Force and Employment, Size, and Structure</w:t>
            </w:r>
          </w:p>
          <w:p w14:paraId="6AC38B22" w14:textId="77777777" w:rsidR="005A7DF2" w:rsidRPr="005A7DF2" w:rsidRDefault="005A7DF2" w:rsidP="00625F4B">
            <w:pPr>
              <w:spacing w:after="20"/>
              <w:rPr>
                <w:b/>
                <w:sz w:val="22"/>
                <w:szCs w:val="22"/>
                <w:lang w:eastAsia="en-US"/>
              </w:rPr>
            </w:pPr>
          </w:p>
        </w:tc>
      </w:tr>
    </w:tbl>
    <w:p w14:paraId="01B1CAB5" w14:textId="77777777" w:rsidR="00A37998" w:rsidRDefault="00A37998" w:rsidP="00625F4B">
      <w:pPr>
        <w:spacing w:after="20"/>
      </w:pPr>
    </w:p>
    <w:p w14:paraId="1CBA3D66" w14:textId="77777777" w:rsidR="00A37998" w:rsidRDefault="00A37998" w:rsidP="00625F4B">
      <w:pPr>
        <w:spacing w:after="20"/>
        <w:rPr>
          <w:rFonts w:eastAsia="Calibri"/>
          <w:szCs w:val="22"/>
        </w:rPr>
      </w:pPr>
    </w:p>
    <w:sdt>
      <w:sdtPr>
        <w:rPr>
          <w:rFonts w:eastAsia="Times New Roman"/>
          <w:b w:val="0"/>
          <w:bCs w:val="0"/>
          <w:sz w:val="24"/>
          <w:szCs w:val="20"/>
          <w:lang w:eastAsia="cs-CZ"/>
        </w:rPr>
        <w:id w:val="1897385969"/>
        <w:docPartObj>
          <w:docPartGallery w:val="Table of Contents"/>
          <w:docPartUnique/>
        </w:docPartObj>
      </w:sdtPr>
      <w:sdtEndPr>
        <w:rPr>
          <w:szCs w:val="24"/>
          <w:lang w:eastAsia="en-US"/>
        </w:rPr>
      </w:sdtEndPr>
      <w:sdtContent>
        <w:p w14:paraId="2FD23C03" w14:textId="77777777" w:rsidR="006C736D" w:rsidRDefault="006C736D" w:rsidP="00625F4B">
          <w:pPr>
            <w:pStyle w:val="Nadpisobsahu"/>
            <w:spacing w:after="20" w:line="240" w:lineRule="auto"/>
          </w:pPr>
          <w:r>
            <w:t>Obsah</w:t>
          </w:r>
        </w:p>
        <w:p w14:paraId="68C68DA8" w14:textId="47881207" w:rsidR="00A876FF" w:rsidRPr="00A876FF" w:rsidRDefault="00565EBD">
          <w:pPr>
            <w:pStyle w:val="Obsah1"/>
            <w:rPr>
              <w:b w:val="0"/>
              <w:noProof w:val="0"/>
              <w:szCs w:val="24"/>
              <w:lang w:eastAsia="cs-CZ"/>
            </w:rPr>
          </w:pPr>
          <w:r w:rsidRPr="00A876FF">
            <w:rPr>
              <w:b w:val="0"/>
              <w:noProof w:val="0"/>
              <w:szCs w:val="24"/>
              <w:lang w:eastAsia="cs-CZ"/>
            </w:rPr>
            <w:fldChar w:fldCharType="begin"/>
          </w:r>
          <w:r w:rsidR="006C736D" w:rsidRPr="00A876FF">
            <w:rPr>
              <w:b w:val="0"/>
              <w:noProof w:val="0"/>
              <w:szCs w:val="24"/>
              <w:lang w:eastAsia="cs-CZ"/>
            </w:rPr>
            <w:instrText xml:space="preserve"> TOC \o "1-3" \h \z \u </w:instrText>
          </w:r>
          <w:r w:rsidRPr="00A876FF">
            <w:rPr>
              <w:b w:val="0"/>
              <w:noProof w:val="0"/>
              <w:szCs w:val="24"/>
              <w:lang w:eastAsia="cs-CZ"/>
            </w:rPr>
            <w:fldChar w:fldCharType="separate"/>
          </w:r>
        </w:p>
        <w:p w14:paraId="24355A2C" w14:textId="472310B2" w:rsidR="00A876FF" w:rsidRPr="00A876FF" w:rsidRDefault="00A876FF">
          <w:pPr>
            <w:pStyle w:val="Obsah1"/>
            <w:tabs>
              <w:tab w:val="left" w:pos="360"/>
            </w:tabs>
            <w:rPr>
              <w:b w:val="0"/>
              <w:noProof w:val="0"/>
              <w:szCs w:val="24"/>
              <w:lang w:eastAsia="cs-CZ"/>
            </w:rPr>
          </w:pPr>
          <w:r w:rsidRPr="00A876FF">
            <w:rPr>
              <w:b w:val="0"/>
              <w:noProof w:val="0"/>
              <w:szCs w:val="24"/>
              <w:lang w:eastAsia="cs-CZ"/>
            </w:rPr>
            <w:t>1</w:t>
          </w:r>
          <w:r w:rsidRPr="00A876FF">
            <w:rPr>
              <w:b w:val="0"/>
              <w:noProof w:val="0"/>
              <w:szCs w:val="24"/>
              <w:lang w:eastAsia="cs-CZ"/>
            </w:rPr>
            <w:tab/>
            <w:t>Úvod</w:t>
          </w:r>
          <w:r w:rsidRPr="00A876FF">
            <w:rPr>
              <w:b w:val="0"/>
              <w:noProof w:val="0"/>
              <w:szCs w:val="24"/>
              <w:lang w:eastAsia="cs-CZ"/>
            </w:rPr>
            <w:tab/>
          </w:r>
          <w:r w:rsidRPr="00A876FF">
            <w:rPr>
              <w:b w:val="0"/>
              <w:noProof w:val="0"/>
              <w:szCs w:val="24"/>
              <w:lang w:eastAsia="cs-CZ"/>
            </w:rPr>
            <w:fldChar w:fldCharType="begin"/>
          </w:r>
          <w:r w:rsidRPr="00A876FF">
            <w:rPr>
              <w:b w:val="0"/>
              <w:noProof w:val="0"/>
              <w:szCs w:val="24"/>
              <w:lang w:eastAsia="cs-CZ"/>
            </w:rPr>
            <w:instrText xml:space="preserve"> PAGEREF _Toc281822786 \h </w:instrText>
          </w:r>
          <w:r w:rsidRPr="00A876FF">
            <w:rPr>
              <w:b w:val="0"/>
              <w:noProof w:val="0"/>
              <w:szCs w:val="24"/>
              <w:lang w:eastAsia="cs-CZ"/>
            </w:rPr>
          </w:r>
          <w:r w:rsidRPr="00A876FF">
            <w:rPr>
              <w:b w:val="0"/>
              <w:noProof w:val="0"/>
              <w:szCs w:val="24"/>
              <w:lang w:eastAsia="cs-CZ"/>
            </w:rPr>
            <w:fldChar w:fldCharType="separate"/>
          </w:r>
          <w:r w:rsidRPr="00A876FF">
            <w:rPr>
              <w:b w:val="0"/>
              <w:noProof w:val="0"/>
              <w:szCs w:val="24"/>
              <w:lang w:eastAsia="cs-CZ"/>
            </w:rPr>
            <w:t>1</w:t>
          </w:r>
          <w:r w:rsidRPr="00A876FF">
            <w:rPr>
              <w:b w:val="0"/>
              <w:noProof w:val="0"/>
              <w:szCs w:val="24"/>
              <w:lang w:eastAsia="cs-CZ"/>
            </w:rPr>
            <w:fldChar w:fldCharType="end"/>
          </w:r>
        </w:p>
        <w:p w14:paraId="2DD1124B" w14:textId="77777777" w:rsidR="00A876FF" w:rsidRPr="00A876FF" w:rsidRDefault="00A876FF">
          <w:pPr>
            <w:pStyle w:val="Obsah2"/>
            <w:tabs>
              <w:tab w:val="left" w:pos="515"/>
            </w:tabs>
            <w:rPr>
              <w:noProof w:val="0"/>
              <w:sz w:val="24"/>
              <w:szCs w:val="24"/>
              <w:lang w:eastAsia="cs-CZ"/>
            </w:rPr>
          </w:pPr>
          <w:r w:rsidRPr="00A876FF">
            <w:rPr>
              <w:noProof w:val="0"/>
              <w:sz w:val="24"/>
              <w:szCs w:val="24"/>
              <w:lang w:eastAsia="cs-CZ"/>
            </w:rPr>
            <w:t>1.1</w:t>
          </w:r>
          <w:r w:rsidRPr="00A876FF">
            <w:rPr>
              <w:noProof w:val="0"/>
              <w:sz w:val="24"/>
              <w:szCs w:val="24"/>
              <w:lang w:eastAsia="cs-CZ"/>
            </w:rPr>
            <w:tab/>
            <w:t>Cíl a metodika práce</w:t>
          </w:r>
          <w:r w:rsidRPr="00A876FF">
            <w:rPr>
              <w:noProof w:val="0"/>
              <w:sz w:val="24"/>
              <w:szCs w:val="24"/>
              <w:lang w:eastAsia="cs-CZ"/>
            </w:rPr>
            <w:tab/>
          </w:r>
          <w:r w:rsidRPr="00A876FF">
            <w:rPr>
              <w:noProof w:val="0"/>
              <w:sz w:val="24"/>
              <w:szCs w:val="24"/>
              <w:lang w:eastAsia="cs-CZ"/>
            </w:rPr>
            <w:fldChar w:fldCharType="begin"/>
          </w:r>
          <w:r w:rsidRPr="00A876FF">
            <w:rPr>
              <w:noProof w:val="0"/>
              <w:sz w:val="24"/>
              <w:szCs w:val="24"/>
              <w:lang w:eastAsia="cs-CZ"/>
            </w:rPr>
            <w:instrText xml:space="preserve"> PAGEREF _Toc281822787 \h </w:instrText>
          </w:r>
          <w:r w:rsidRPr="00A876FF">
            <w:rPr>
              <w:noProof w:val="0"/>
              <w:sz w:val="24"/>
              <w:szCs w:val="24"/>
              <w:lang w:eastAsia="cs-CZ"/>
            </w:rPr>
          </w:r>
          <w:r w:rsidRPr="00A876FF">
            <w:rPr>
              <w:noProof w:val="0"/>
              <w:sz w:val="24"/>
              <w:szCs w:val="24"/>
              <w:lang w:eastAsia="cs-CZ"/>
            </w:rPr>
            <w:fldChar w:fldCharType="separate"/>
          </w:r>
          <w:r w:rsidRPr="00A876FF">
            <w:rPr>
              <w:noProof w:val="0"/>
              <w:sz w:val="24"/>
              <w:szCs w:val="24"/>
              <w:lang w:eastAsia="cs-CZ"/>
            </w:rPr>
            <w:t>1</w:t>
          </w:r>
          <w:r w:rsidRPr="00A876FF">
            <w:rPr>
              <w:noProof w:val="0"/>
              <w:sz w:val="24"/>
              <w:szCs w:val="24"/>
              <w:lang w:eastAsia="cs-CZ"/>
            </w:rPr>
            <w:fldChar w:fldCharType="end"/>
          </w:r>
        </w:p>
        <w:p w14:paraId="48B78596" w14:textId="77777777" w:rsidR="00A876FF" w:rsidRPr="00A876FF" w:rsidRDefault="00A876FF">
          <w:pPr>
            <w:pStyle w:val="Obsah1"/>
            <w:tabs>
              <w:tab w:val="left" w:pos="360"/>
            </w:tabs>
            <w:rPr>
              <w:b w:val="0"/>
              <w:noProof w:val="0"/>
              <w:szCs w:val="24"/>
              <w:lang w:eastAsia="cs-CZ"/>
            </w:rPr>
          </w:pPr>
          <w:r w:rsidRPr="00A876FF">
            <w:rPr>
              <w:b w:val="0"/>
              <w:noProof w:val="0"/>
              <w:szCs w:val="24"/>
              <w:lang w:eastAsia="cs-CZ"/>
            </w:rPr>
            <w:t>2</w:t>
          </w:r>
          <w:r w:rsidRPr="00A876FF">
            <w:rPr>
              <w:b w:val="0"/>
              <w:noProof w:val="0"/>
              <w:szCs w:val="24"/>
              <w:lang w:eastAsia="cs-CZ"/>
            </w:rPr>
            <w:tab/>
            <w:t>Teoreticko-metodická část seminární práce</w:t>
          </w:r>
          <w:r w:rsidRPr="00A876FF">
            <w:rPr>
              <w:b w:val="0"/>
              <w:noProof w:val="0"/>
              <w:szCs w:val="24"/>
              <w:lang w:eastAsia="cs-CZ"/>
            </w:rPr>
            <w:tab/>
          </w:r>
          <w:r w:rsidRPr="00A876FF">
            <w:rPr>
              <w:b w:val="0"/>
              <w:noProof w:val="0"/>
              <w:szCs w:val="24"/>
              <w:lang w:eastAsia="cs-CZ"/>
            </w:rPr>
            <w:fldChar w:fldCharType="begin"/>
          </w:r>
          <w:r w:rsidRPr="00A876FF">
            <w:rPr>
              <w:b w:val="0"/>
              <w:noProof w:val="0"/>
              <w:szCs w:val="24"/>
              <w:lang w:eastAsia="cs-CZ"/>
            </w:rPr>
            <w:instrText xml:space="preserve"> PAGEREF _Toc281822788 \h </w:instrText>
          </w:r>
          <w:r w:rsidRPr="00A876FF">
            <w:rPr>
              <w:b w:val="0"/>
              <w:noProof w:val="0"/>
              <w:szCs w:val="24"/>
              <w:lang w:eastAsia="cs-CZ"/>
            </w:rPr>
          </w:r>
          <w:r w:rsidRPr="00A876FF">
            <w:rPr>
              <w:b w:val="0"/>
              <w:noProof w:val="0"/>
              <w:szCs w:val="24"/>
              <w:lang w:eastAsia="cs-CZ"/>
            </w:rPr>
            <w:fldChar w:fldCharType="separate"/>
          </w:r>
          <w:r w:rsidRPr="00A876FF">
            <w:rPr>
              <w:b w:val="0"/>
              <w:noProof w:val="0"/>
              <w:szCs w:val="24"/>
              <w:lang w:eastAsia="cs-CZ"/>
            </w:rPr>
            <w:t>2</w:t>
          </w:r>
          <w:r w:rsidRPr="00A876FF">
            <w:rPr>
              <w:b w:val="0"/>
              <w:noProof w:val="0"/>
              <w:szCs w:val="24"/>
              <w:lang w:eastAsia="cs-CZ"/>
            </w:rPr>
            <w:fldChar w:fldCharType="end"/>
          </w:r>
        </w:p>
        <w:p w14:paraId="438CAA20" w14:textId="77777777" w:rsidR="00A876FF" w:rsidRPr="00A876FF" w:rsidRDefault="00A876FF">
          <w:pPr>
            <w:pStyle w:val="Obsah2"/>
            <w:tabs>
              <w:tab w:val="left" w:pos="515"/>
            </w:tabs>
            <w:rPr>
              <w:noProof w:val="0"/>
              <w:sz w:val="24"/>
              <w:szCs w:val="24"/>
              <w:lang w:eastAsia="cs-CZ"/>
            </w:rPr>
          </w:pPr>
          <w:r w:rsidRPr="00A876FF">
            <w:rPr>
              <w:noProof w:val="0"/>
              <w:sz w:val="24"/>
              <w:szCs w:val="24"/>
              <w:lang w:eastAsia="cs-CZ"/>
            </w:rPr>
            <w:t>2.1</w:t>
          </w:r>
          <w:r w:rsidRPr="00A876FF">
            <w:rPr>
              <w:noProof w:val="0"/>
              <w:sz w:val="24"/>
              <w:szCs w:val="24"/>
              <w:lang w:eastAsia="cs-CZ"/>
            </w:rPr>
            <w:tab/>
            <w:t>Srovnání ČR a PL</w:t>
          </w:r>
          <w:r w:rsidRPr="00A876FF">
            <w:rPr>
              <w:noProof w:val="0"/>
              <w:sz w:val="24"/>
              <w:szCs w:val="24"/>
              <w:lang w:eastAsia="cs-CZ"/>
            </w:rPr>
            <w:tab/>
          </w:r>
          <w:r w:rsidRPr="00A876FF">
            <w:rPr>
              <w:noProof w:val="0"/>
              <w:sz w:val="24"/>
              <w:szCs w:val="24"/>
              <w:lang w:eastAsia="cs-CZ"/>
            </w:rPr>
            <w:fldChar w:fldCharType="begin"/>
          </w:r>
          <w:r w:rsidRPr="00A876FF">
            <w:rPr>
              <w:noProof w:val="0"/>
              <w:sz w:val="24"/>
              <w:szCs w:val="24"/>
              <w:lang w:eastAsia="cs-CZ"/>
            </w:rPr>
            <w:instrText xml:space="preserve"> PAGEREF _Toc281822789 \h </w:instrText>
          </w:r>
          <w:r w:rsidRPr="00A876FF">
            <w:rPr>
              <w:noProof w:val="0"/>
              <w:sz w:val="24"/>
              <w:szCs w:val="24"/>
              <w:lang w:eastAsia="cs-CZ"/>
            </w:rPr>
          </w:r>
          <w:r w:rsidRPr="00A876FF">
            <w:rPr>
              <w:noProof w:val="0"/>
              <w:sz w:val="24"/>
              <w:szCs w:val="24"/>
              <w:lang w:eastAsia="cs-CZ"/>
            </w:rPr>
            <w:fldChar w:fldCharType="separate"/>
          </w:r>
          <w:r w:rsidRPr="00A876FF">
            <w:rPr>
              <w:noProof w:val="0"/>
              <w:sz w:val="24"/>
              <w:szCs w:val="24"/>
              <w:lang w:eastAsia="cs-CZ"/>
            </w:rPr>
            <w:t>2</w:t>
          </w:r>
          <w:r w:rsidRPr="00A876FF">
            <w:rPr>
              <w:noProof w:val="0"/>
              <w:sz w:val="24"/>
              <w:szCs w:val="24"/>
              <w:lang w:eastAsia="cs-CZ"/>
            </w:rPr>
            <w:fldChar w:fldCharType="end"/>
          </w:r>
        </w:p>
        <w:p w14:paraId="06677747" w14:textId="77777777" w:rsidR="00A876FF" w:rsidRPr="00A876FF" w:rsidRDefault="00A876FF">
          <w:pPr>
            <w:pStyle w:val="Obsah3"/>
            <w:tabs>
              <w:tab w:val="left" w:pos="680"/>
            </w:tabs>
            <w:rPr>
              <w:sz w:val="24"/>
              <w:szCs w:val="24"/>
              <w:lang w:eastAsia="cs-CZ"/>
            </w:rPr>
          </w:pPr>
          <w:r w:rsidRPr="00A876FF">
            <w:rPr>
              <w:sz w:val="24"/>
              <w:szCs w:val="24"/>
              <w:lang w:eastAsia="cs-CZ"/>
            </w:rPr>
            <w:t>2.1.1</w:t>
          </w:r>
          <w:r w:rsidRPr="00A876FF">
            <w:rPr>
              <w:sz w:val="24"/>
              <w:szCs w:val="24"/>
              <w:lang w:eastAsia="cs-CZ"/>
            </w:rPr>
            <w:tab/>
            <w:t>Česká republika</w:t>
          </w:r>
          <w:r w:rsidRPr="00A876FF">
            <w:rPr>
              <w:sz w:val="24"/>
              <w:szCs w:val="24"/>
              <w:lang w:eastAsia="cs-CZ"/>
            </w:rPr>
            <w:tab/>
          </w:r>
          <w:r w:rsidRPr="00A876FF">
            <w:rPr>
              <w:sz w:val="24"/>
              <w:szCs w:val="24"/>
              <w:lang w:eastAsia="cs-CZ"/>
            </w:rPr>
            <w:fldChar w:fldCharType="begin"/>
          </w:r>
          <w:r w:rsidRPr="00A876FF">
            <w:rPr>
              <w:sz w:val="24"/>
              <w:szCs w:val="24"/>
              <w:lang w:eastAsia="cs-CZ"/>
            </w:rPr>
            <w:instrText xml:space="preserve"> PAGEREF _Toc281822790 \h </w:instrText>
          </w:r>
          <w:r w:rsidRPr="00A876FF">
            <w:rPr>
              <w:sz w:val="24"/>
              <w:szCs w:val="24"/>
              <w:lang w:eastAsia="cs-CZ"/>
            </w:rPr>
          </w:r>
          <w:r w:rsidRPr="00A876FF">
            <w:rPr>
              <w:sz w:val="24"/>
              <w:szCs w:val="24"/>
              <w:lang w:eastAsia="cs-CZ"/>
            </w:rPr>
            <w:fldChar w:fldCharType="separate"/>
          </w:r>
          <w:r w:rsidRPr="00A876FF">
            <w:rPr>
              <w:sz w:val="24"/>
              <w:szCs w:val="24"/>
              <w:lang w:eastAsia="cs-CZ"/>
            </w:rPr>
            <w:t>2</w:t>
          </w:r>
          <w:r w:rsidRPr="00A876FF">
            <w:rPr>
              <w:sz w:val="24"/>
              <w:szCs w:val="24"/>
              <w:lang w:eastAsia="cs-CZ"/>
            </w:rPr>
            <w:fldChar w:fldCharType="end"/>
          </w:r>
        </w:p>
        <w:p w14:paraId="4A57969D" w14:textId="651C2188" w:rsidR="00A876FF" w:rsidRPr="00A876FF" w:rsidRDefault="00A876FF">
          <w:pPr>
            <w:pStyle w:val="Obsah3"/>
            <w:tabs>
              <w:tab w:val="left" w:pos="680"/>
            </w:tabs>
            <w:rPr>
              <w:sz w:val="24"/>
              <w:szCs w:val="24"/>
              <w:lang w:eastAsia="cs-CZ"/>
            </w:rPr>
          </w:pPr>
          <w:r w:rsidRPr="00A876FF">
            <w:rPr>
              <w:sz w:val="24"/>
              <w:szCs w:val="24"/>
              <w:lang w:eastAsia="cs-CZ"/>
            </w:rPr>
            <w:t>2.1.2</w:t>
          </w:r>
          <w:r w:rsidRPr="00A876FF">
            <w:rPr>
              <w:sz w:val="24"/>
              <w:szCs w:val="24"/>
              <w:lang w:eastAsia="cs-CZ"/>
            </w:rPr>
            <w:tab/>
            <w:t>Polsko</w:t>
          </w:r>
          <w:r w:rsidRPr="00A876FF">
            <w:rPr>
              <w:sz w:val="24"/>
              <w:szCs w:val="24"/>
              <w:lang w:eastAsia="cs-CZ"/>
            </w:rPr>
            <w:tab/>
          </w:r>
        </w:p>
        <w:p w14:paraId="1D39EB3D" w14:textId="77777777" w:rsidR="00A876FF" w:rsidRPr="00A876FF" w:rsidRDefault="00A876FF">
          <w:pPr>
            <w:pStyle w:val="Obsah3"/>
            <w:tabs>
              <w:tab w:val="left" w:pos="680"/>
            </w:tabs>
            <w:rPr>
              <w:sz w:val="24"/>
              <w:szCs w:val="24"/>
              <w:lang w:eastAsia="cs-CZ"/>
            </w:rPr>
          </w:pPr>
          <w:r w:rsidRPr="00A876FF">
            <w:rPr>
              <w:sz w:val="24"/>
              <w:szCs w:val="24"/>
              <w:lang w:eastAsia="cs-CZ"/>
            </w:rPr>
            <w:t>2.1.3</w:t>
          </w:r>
          <w:r w:rsidRPr="00A876FF">
            <w:rPr>
              <w:sz w:val="24"/>
              <w:szCs w:val="24"/>
              <w:lang w:eastAsia="cs-CZ"/>
            </w:rPr>
            <w:tab/>
            <w:t>Srovnání České Republiky a Polsko</w:t>
          </w:r>
          <w:r w:rsidRPr="00A876FF">
            <w:rPr>
              <w:sz w:val="24"/>
              <w:szCs w:val="24"/>
              <w:lang w:eastAsia="cs-CZ"/>
            </w:rPr>
            <w:tab/>
          </w:r>
          <w:r w:rsidRPr="00A876FF">
            <w:rPr>
              <w:sz w:val="24"/>
              <w:szCs w:val="24"/>
              <w:lang w:eastAsia="cs-CZ"/>
            </w:rPr>
            <w:fldChar w:fldCharType="begin"/>
          </w:r>
          <w:r w:rsidRPr="00A876FF">
            <w:rPr>
              <w:sz w:val="24"/>
              <w:szCs w:val="24"/>
              <w:lang w:eastAsia="cs-CZ"/>
            </w:rPr>
            <w:instrText xml:space="preserve"> PAGEREF _Toc281822792 \h </w:instrText>
          </w:r>
          <w:r w:rsidRPr="00A876FF">
            <w:rPr>
              <w:sz w:val="24"/>
              <w:szCs w:val="24"/>
              <w:lang w:eastAsia="cs-CZ"/>
            </w:rPr>
          </w:r>
          <w:r w:rsidRPr="00A876FF">
            <w:rPr>
              <w:sz w:val="24"/>
              <w:szCs w:val="24"/>
              <w:lang w:eastAsia="cs-CZ"/>
            </w:rPr>
            <w:fldChar w:fldCharType="separate"/>
          </w:r>
          <w:r w:rsidRPr="00A876FF">
            <w:rPr>
              <w:sz w:val="24"/>
              <w:szCs w:val="24"/>
              <w:lang w:eastAsia="cs-CZ"/>
            </w:rPr>
            <w:t>3</w:t>
          </w:r>
          <w:r w:rsidRPr="00A876FF">
            <w:rPr>
              <w:sz w:val="24"/>
              <w:szCs w:val="24"/>
              <w:lang w:eastAsia="cs-CZ"/>
            </w:rPr>
            <w:fldChar w:fldCharType="end"/>
          </w:r>
        </w:p>
        <w:p w14:paraId="520253B5" w14:textId="77777777" w:rsidR="00A876FF" w:rsidRPr="00A876FF" w:rsidRDefault="00A876FF">
          <w:pPr>
            <w:pStyle w:val="Obsah2"/>
            <w:tabs>
              <w:tab w:val="left" w:pos="515"/>
            </w:tabs>
            <w:rPr>
              <w:noProof w:val="0"/>
              <w:sz w:val="24"/>
              <w:szCs w:val="24"/>
              <w:lang w:eastAsia="cs-CZ"/>
            </w:rPr>
          </w:pPr>
          <w:r w:rsidRPr="00A876FF">
            <w:rPr>
              <w:noProof w:val="0"/>
              <w:sz w:val="24"/>
              <w:szCs w:val="24"/>
              <w:lang w:eastAsia="cs-CZ"/>
            </w:rPr>
            <w:t>2.2</w:t>
          </w:r>
          <w:r w:rsidRPr="00A876FF">
            <w:rPr>
              <w:noProof w:val="0"/>
              <w:sz w:val="24"/>
              <w:szCs w:val="24"/>
              <w:lang w:eastAsia="cs-CZ"/>
            </w:rPr>
            <w:tab/>
            <w:t>Evropa 2020</w:t>
          </w:r>
          <w:r w:rsidRPr="00A876FF">
            <w:rPr>
              <w:noProof w:val="0"/>
              <w:sz w:val="24"/>
              <w:szCs w:val="24"/>
              <w:lang w:eastAsia="cs-CZ"/>
            </w:rPr>
            <w:tab/>
          </w:r>
          <w:r w:rsidRPr="00A876FF">
            <w:rPr>
              <w:noProof w:val="0"/>
              <w:sz w:val="24"/>
              <w:szCs w:val="24"/>
              <w:lang w:eastAsia="cs-CZ"/>
            </w:rPr>
            <w:fldChar w:fldCharType="begin"/>
          </w:r>
          <w:r w:rsidRPr="00A876FF">
            <w:rPr>
              <w:noProof w:val="0"/>
              <w:sz w:val="24"/>
              <w:szCs w:val="24"/>
              <w:lang w:eastAsia="cs-CZ"/>
            </w:rPr>
            <w:instrText xml:space="preserve"> PAGEREF _Toc281822793 \h </w:instrText>
          </w:r>
          <w:r w:rsidRPr="00A876FF">
            <w:rPr>
              <w:noProof w:val="0"/>
              <w:sz w:val="24"/>
              <w:szCs w:val="24"/>
              <w:lang w:eastAsia="cs-CZ"/>
            </w:rPr>
          </w:r>
          <w:r w:rsidRPr="00A876FF">
            <w:rPr>
              <w:noProof w:val="0"/>
              <w:sz w:val="24"/>
              <w:szCs w:val="24"/>
              <w:lang w:eastAsia="cs-CZ"/>
            </w:rPr>
            <w:fldChar w:fldCharType="separate"/>
          </w:r>
          <w:r w:rsidRPr="00A876FF">
            <w:rPr>
              <w:noProof w:val="0"/>
              <w:sz w:val="24"/>
              <w:szCs w:val="24"/>
              <w:lang w:eastAsia="cs-CZ"/>
            </w:rPr>
            <w:t>4</w:t>
          </w:r>
          <w:r w:rsidRPr="00A876FF">
            <w:rPr>
              <w:noProof w:val="0"/>
              <w:sz w:val="24"/>
              <w:szCs w:val="24"/>
              <w:lang w:eastAsia="cs-CZ"/>
            </w:rPr>
            <w:fldChar w:fldCharType="end"/>
          </w:r>
        </w:p>
        <w:p w14:paraId="3E522AB5" w14:textId="77777777" w:rsidR="00A876FF" w:rsidRPr="00A876FF" w:rsidRDefault="00A876FF">
          <w:pPr>
            <w:pStyle w:val="Obsah3"/>
            <w:tabs>
              <w:tab w:val="left" w:pos="680"/>
            </w:tabs>
            <w:rPr>
              <w:sz w:val="24"/>
              <w:szCs w:val="24"/>
              <w:lang w:eastAsia="cs-CZ"/>
            </w:rPr>
          </w:pPr>
          <w:r w:rsidRPr="00A876FF">
            <w:rPr>
              <w:sz w:val="24"/>
              <w:szCs w:val="24"/>
              <w:lang w:eastAsia="cs-CZ"/>
            </w:rPr>
            <w:t>2.2.1</w:t>
          </w:r>
          <w:r w:rsidRPr="00A876FF">
            <w:rPr>
              <w:sz w:val="24"/>
              <w:szCs w:val="24"/>
              <w:lang w:eastAsia="cs-CZ"/>
            </w:rPr>
            <w:tab/>
            <w:t>Europa 2020 – Polsko</w:t>
          </w:r>
          <w:r w:rsidRPr="00A876FF">
            <w:rPr>
              <w:sz w:val="24"/>
              <w:szCs w:val="24"/>
              <w:lang w:eastAsia="cs-CZ"/>
            </w:rPr>
            <w:tab/>
          </w:r>
          <w:r w:rsidRPr="00A876FF">
            <w:rPr>
              <w:sz w:val="24"/>
              <w:szCs w:val="24"/>
              <w:lang w:eastAsia="cs-CZ"/>
            </w:rPr>
            <w:fldChar w:fldCharType="begin"/>
          </w:r>
          <w:r w:rsidRPr="00A876FF">
            <w:rPr>
              <w:sz w:val="24"/>
              <w:szCs w:val="24"/>
              <w:lang w:eastAsia="cs-CZ"/>
            </w:rPr>
            <w:instrText xml:space="preserve"> PAGEREF _Toc281822794 \h </w:instrText>
          </w:r>
          <w:r w:rsidRPr="00A876FF">
            <w:rPr>
              <w:sz w:val="24"/>
              <w:szCs w:val="24"/>
              <w:lang w:eastAsia="cs-CZ"/>
            </w:rPr>
          </w:r>
          <w:r w:rsidRPr="00A876FF">
            <w:rPr>
              <w:sz w:val="24"/>
              <w:szCs w:val="24"/>
              <w:lang w:eastAsia="cs-CZ"/>
            </w:rPr>
            <w:fldChar w:fldCharType="separate"/>
          </w:r>
          <w:r w:rsidRPr="00A876FF">
            <w:rPr>
              <w:sz w:val="24"/>
              <w:szCs w:val="24"/>
              <w:lang w:eastAsia="cs-CZ"/>
            </w:rPr>
            <w:t>4</w:t>
          </w:r>
          <w:r w:rsidRPr="00A876FF">
            <w:rPr>
              <w:sz w:val="24"/>
              <w:szCs w:val="24"/>
              <w:lang w:eastAsia="cs-CZ"/>
            </w:rPr>
            <w:fldChar w:fldCharType="end"/>
          </w:r>
        </w:p>
        <w:p w14:paraId="713D476E" w14:textId="77777777" w:rsidR="00A876FF" w:rsidRPr="00A876FF" w:rsidRDefault="00A876FF">
          <w:pPr>
            <w:pStyle w:val="Obsah3"/>
            <w:tabs>
              <w:tab w:val="left" w:pos="680"/>
            </w:tabs>
            <w:rPr>
              <w:sz w:val="24"/>
              <w:szCs w:val="24"/>
              <w:lang w:eastAsia="cs-CZ"/>
            </w:rPr>
          </w:pPr>
          <w:r w:rsidRPr="00A876FF">
            <w:rPr>
              <w:sz w:val="24"/>
              <w:szCs w:val="24"/>
              <w:lang w:eastAsia="cs-CZ"/>
            </w:rPr>
            <w:t>2.2.2</w:t>
          </w:r>
          <w:r w:rsidRPr="00A876FF">
            <w:rPr>
              <w:sz w:val="24"/>
              <w:szCs w:val="24"/>
              <w:lang w:eastAsia="cs-CZ"/>
            </w:rPr>
            <w:tab/>
            <w:t>Europa 2020- Česká republika</w:t>
          </w:r>
          <w:r w:rsidRPr="00A876FF">
            <w:rPr>
              <w:sz w:val="24"/>
              <w:szCs w:val="24"/>
              <w:lang w:eastAsia="cs-CZ"/>
            </w:rPr>
            <w:tab/>
          </w:r>
          <w:r w:rsidRPr="00A876FF">
            <w:rPr>
              <w:sz w:val="24"/>
              <w:szCs w:val="24"/>
              <w:lang w:eastAsia="cs-CZ"/>
            </w:rPr>
            <w:fldChar w:fldCharType="begin"/>
          </w:r>
          <w:r w:rsidRPr="00A876FF">
            <w:rPr>
              <w:sz w:val="24"/>
              <w:szCs w:val="24"/>
              <w:lang w:eastAsia="cs-CZ"/>
            </w:rPr>
            <w:instrText xml:space="preserve"> PAGEREF _Toc281822795 \h </w:instrText>
          </w:r>
          <w:r w:rsidRPr="00A876FF">
            <w:rPr>
              <w:sz w:val="24"/>
              <w:szCs w:val="24"/>
              <w:lang w:eastAsia="cs-CZ"/>
            </w:rPr>
          </w:r>
          <w:r w:rsidRPr="00A876FF">
            <w:rPr>
              <w:sz w:val="24"/>
              <w:szCs w:val="24"/>
              <w:lang w:eastAsia="cs-CZ"/>
            </w:rPr>
            <w:fldChar w:fldCharType="separate"/>
          </w:r>
          <w:r w:rsidRPr="00A876FF">
            <w:rPr>
              <w:sz w:val="24"/>
              <w:szCs w:val="24"/>
              <w:lang w:eastAsia="cs-CZ"/>
            </w:rPr>
            <w:t>5</w:t>
          </w:r>
          <w:r w:rsidRPr="00A876FF">
            <w:rPr>
              <w:sz w:val="24"/>
              <w:szCs w:val="24"/>
              <w:lang w:eastAsia="cs-CZ"/>
            </w:rPr>
            <w:fldChar w:fldCharType="end"/>
          </w:r>
        </w:p>
        <w:p w14:paraId="56EA3375" w14:textId="77777777" w:rsidR="00A876FF" w:rsidRPr="00A876FF" w:rsidRDefault="00A876FF">
          <w:pPr>
            <w:pStyle w:val="Obsah2"/>
            <w:tabs>
              <w:tab w:val="left" w:pos="515"/>
            </w:tabs>
            <w:rPr>
              <w:noProof w:val="0"/>
              <w:sz w:val="24"/>
              <w:szCs w:val="24"/>
              <w:lang w:eastAsia="cs-CZ"/>
            </w:rPr>
          </w:pPr>
          <w:r w:rsidRPr="00A876FF">
            <w:rPr>
              <w:noProof w:val="0"/>
              <w:sz w:val="24"/>
              <w:szCs w:val="24"/>
              <w:lang w:eastAsia="cs-CZ"/>
            </w:rPr>
            <w:t>2.3</w:t>
          </w:r>
          <w:r w:rsidRPr="00A876FF">
            <w:rPr>
              <w:noProof w:val="0"/>
              <w:sz w:val="24"/>
              <w:szCs w:val="24"/>
              <w:lang w:eastAsia="cs-CZ"/>
            </w:rPr>
            <w:tab/>
            <w:t>Základní pojmy</w:t>
          </w:r>
          <w:r w:rsidRPr="00A876FF">
            <w:rPr>
              <w:noProof w:val="0"/>
              <w:sz w:val="24"/>
              <w:szCs w:val="24"/>
              <w:lang w:eastAsia="cs-CZ"/>
            </w:rPr>
            <w:tab/>
          </w:r>
          <w:r w:rsidRPr="00A876FF">
            <w:rPr>
              <w:noProof w:val="0"/>
              <w:sz w:val="24"/>
              <w:szCs w:val="24"/>
              <w:lang w:eastAsia="cs-CZ"/>
            </w:rPr>
            <w:fldChar w:fldCharType="begin"/>
          </w:r>
          <w:r w:rsidRPr="00A876FF">
            <w:rPr>
              <w:noProof w:val="0"/>
              <w:sz w:val="24"/>
              <w:szCs w:val="24"/>
              <w:lang w:eastAsia="cs-CZ"/>
            </w:rPr>
            <w:instrText xml:space="preserve"> PAGEREF _Toc281822796 \h </w:instrText>
          </w:r>
          <w:r w:rsidRPr="00A876FF">
            <w:rPr>
              <w:noProof w:val="0"/>
              <w:sz w:val="24"/>
              <w:szCs w:val="24"/>
              <w:lang w:eastAsia="cs-CZ"/>
            </w:rPr>
          </w:r>
          <w:r w:rsidRPr="00A876FF">
            <w:rPr>
              <w:noProof w:val="0"/>
              <w:sz w:val="24"/>
              <w:szCs w:val="24"/>
              <w:lang w:eastAsia="cs-CZ"/>
            </w:rPr>
            <w:fldChar w:fldCharType="separate"/>
          </w:r>
          <w:r w:rsidRPr="00A876FF">
            <w:rPr>
              <w:noProof w:val="0"/>
              <w:sz w:val="24"/>
              <w:szCs w:val="24"/>
              <w:lang w:eastAsia="cs-CZ"/>
            </w:rPr>
            <w:t>6</w:t>
          </w:r>
          <w:r w:rsidRPr="00A876FF">
            <w:rPr>
              <w:noProof w:val="0"/>
              <w:sz w:val="24"/>
              <w:szCs w:val="24"/>
              <w:lang w:eastAsia="cs-CZ"/>
            </w:rPr>
            <w:fldChar w:fldCharType="end"/>
          </w:r>
        </w:p>
        <w:p w14:paraId="71C4E9F1" w14:textId="77777777" w:rsidR="00A876FF" w:rsidRPr="00A876FF" w:rsidRDefault="00A876FF">
          <w:pPr>
            <w:pStyle w:val="Obsah1"/>
            <w:tabs>
              <w:tab w:val="left" w:pos="360"/>
            </w:tabs>
            <w:rPr>
              <w:b w:val="0"/>
              <w:noProof w:val="0"/>
              <w:szCs w:val="24"/>
              <w:lang w:eastAsia="cs-CZ"/>
            </w:rPr>
          </w:pPr>
          <w:r w:rsidRPr="00A876FF">
            <w:rPr>
              <w:b w:val="0"/>
              <w:noProof w:val="0"/>
              <w:szCs w:val="24"/>
              <w:lang w:eastAsia="cs-CZ"/>
            </w:rPr>
            <w:t>3</w:t>
          </w:r>
          <w:r w:rsidRPr="00A876FF">
            <w:rPr>
              <w:b w:val="0"/>
              <w:noProof w:val="0"/>
              <w:szCs w:val="24"/>
              <w:lang w:eastAsia="cs-CZ"/>
            </w:rPr>
            <w:tab/>
            <w:t>Praktická část seminární práce</w:t>
          </w:r>
          <w:r w:rsidRPr="00A876FF">
            <w:rPr>
              <w:b w:val="0"/>
              <w:noProof w:val="0"/>
              <w:szCs w:val="24"/>
              <w:lang w:eastAsia="cs-CZ"/>
            </w:rPr>
            <w:tab/>
          </w:r>
          <w:r w:rsidRPr="00A876FF">
            <w:rPr>
              <w:b w:val="0"/>
              <w:noProof w:val="0"/>
              <w:szCs w:val="24"/>
              <w:lang w:eastAsia="cs-CZ"/>
            </w:rPr>
            <w:fldChar w:fldCharType="begin"/>
          </w:r>
          <w:r w:rsidRPr="00A876FF">
            <w:rPr>
              <w:b w:val="0"/>
              <w:noProof w:val="0"/>
              <w:szCs w:val="24"/>
              <w:lang w:eastAsia="cs-CZ"/>
            </w:rPr>
            <w:instrText xml:space="preserve"> PAGEREF _Toc281822797 \h </w:instrText>
          </w:r>
          <w:r w:rsidRPr="00A876FF">
            <w:rPr>
              <w:b w:val="0"/>
              <w:noProof w:val="0"/>
              <w:szCs w:val="24"/>
              <w:lang w:eastAsia="cs-CZ"/>
            </w:rPr>
          </w:r>
          <w:r w:rsidRPr="00A876FF">
            <w:rPr>
              <w:b w:val="0"/>
              <w:noProof w:val="0"/>
              <w:szCs w:val="24"/>
              <w:lang w:eastAsia="cs-CZ"/>
            </w:rPr>
            <w:fldChar w:fldCharType="separate"/>
          </w:r>
          <w:r w:rsidRPr="00A876FF">
            <w:rPr>
              <w:b w:val="0"/>
              <w:noProof w:val="0"/>
              <w:szCs w:val="24"/>
              <w:lang w:eastAsia="cs-CZ"/>
            </w:rPr>
            <w:t>8</w:t>
          </w:r>
          <w:r w:rsidRPr="00A876FF">
            <w:rPr>
              <w:b w:val="0"/>
              <w:noProof w:val="0"/>
              <w:szCs w:val="24"/>
              <w:lang w:eastAsia="cs-CZ"/>
            </w:rPr>
            <w:fldChar w:fldCharType="end"/>
          </w:r>
        </w:p>
        <w:p w14:paraId="2A4FA59C" w14:textId="77777777" w:rsidR="00A876FF" w:rsidRPr="00A876FF" w:rsidRDefault="00A876FF">
          <w:pPr>
            <w:pStyle w:val="Obsah2"/>
            <w:tabs>
              <w:tab w:val="left" w:pos="515"/>
            </w:tabs>
            <w:rPr>
              <w:noProof w:val="0"/>
              <w:sz w:val="24"/>
              <w:szCs w:val="24"/>
              <w:lang w:eastAsia="cs-CZ"/>
            </w:rPr>
          </w:pPr>
          <w:r w:rsidRPr="00A876FF">
            <w:rPr>
              <w:noProof w:val="0"/>
              <w:sz w:val="24"/>
              <w:szCs w:val="24"/>
              <w:lang w:eastAsia="cs-CZ"/>
            </w:rPr>
            <w:t>3.1</w:t>
          </w:r>
          <w:r w:rsidRPr="00A876FF">
            <w:rPr>
              <w:noProof w:val="0"/>
              <w:sz w:val="24"/>
              <w:szCs w:val="24"/>
              <w:lang w:eastAsia="cs-CZ"/>
            </w:rPr>
            <w:tab/>
            <w:t>Srovnání ČR a PL v základních makroekonomických ukazatelích</w:t>
          </w:r>
          <w:r w:rsidRPr="00A876FF">
            <w:rPr>
              <w:noProof w:val="0"/>
              <w:sz w:val="24"/>
              <w:szCs w:val="24"/>
              <w:lang w:eastAsia="cs-CZ"/>
            </w:rPr>
            <w:tab/>
          </w:r>
          <w:r w:rsidRPr="00A876FF">
            <w:rPr>
              <w:noProof w:val="0"/>
              <w:sz w:val="24"/>
              <w:szCs w:val="24"/>
              <w:lang w:eastAsia="cs-CZ"/>
            </w:rPr>
            <w:fldChar w:fldCharType="begin"/>
          </w:r>
          <w:r w:rsidRPr="00A876FF">
            <w:rPr>
              <w:noProof w:val="0"/>
              <w:sz w:val="24"/>
              <w:szCs w:val="24"/>
              <w:lang w:eastAsia="cs-CZ"/>
            </w:rPr>
            <w:instrText xml:space="preserve"> PAGEREF _Toc281822798 \h </w:instrText>
          </w:r>
          <w:r w:rsidRPr="00A876FF">
            <w:rPr>
              <w:noProof w:val="0"/>
              <w:sz w:val="24"/>
              <w:szCs w:val="24"/>
              <w:lang w:eastAsia="cs-CZ"/>
            </w:rPr>
          </w:r>
          <w:r w:rsidRPr="00A876FF">
            <w:rPr>
              <w:noProof w:val="0"/>
              <w:sz w:val="24"/>
              <w:szCs w:val="24"/>
              <w:lang w:eastAsia="cs-CZ"/>
            </w:rPr>
            <w:fldChar w:fldCharType="separate"/>
          </w:r>
          <w:r w:rsidRPr="00A876FF">
            <w:rPr>
              <w:noProof w:val="0"/>
              <w:sz w:val="24"/>
              <w:szCs w:val="24"/>
              <w:lang w:eastAsia="cs-CZ"/>
            </w:rPr>
            <w:t>8</w:t>
          </w:r>
          <w:r w:rsidRPr="00A876FF">
            <w:rPr>
              <w:noProof w:val="0"/>
              <w:sz w:val="24"/>
              <w:szCs w:val="24"/>
              <w:lang w:eastAsia="cs-CZ"/>
            </w:rPr>
            <w:fldChar w:fldCharType="end"/>
          </w:r>
        </w:p>
        <w:p w14:paraId="4C910A3E" w14:textId="77777777" w:rsidR="00A876FF" w:rsidRPr="00A876FF" w:rsidRDefault="00A876FF">
          <w:pPr>
            <w:pStyle w:val="Obsah3"/>
            <w:tabs>
              <w:tab w:val="left" w:pos="680"/>
            </w:tabs>
            <w:rPr>
              <w:sz w:val="24"/>
              <w:szCs w:val="24"/>
              <w:lang w:eastAsia="cs-CZ"/>
            </w:rPr>
          </w:pPr>
          <w:r w:rsidRPr="00A876FF">
            <w:rPr>
              <w:sz w:val="24"/>
              <w:szCs w:val="24"/>
              <w:lang w:eastAsia="cs-CZ"/>
            </w:rPr>
            <w:t>3.1.1</w:t>
          </w:r>
          <w:r w:rsidRPr="00A876FF">
            <w:rPr>
              <w:sz w:val="24"/>
              <w:szCs w:val="24"/>
              <w:lang w:eastAsia="cs-CZ"/>
            </w:rPr>
            <w:tab/>
            <w:t>Hodnotící komentář první části</w:t>
          </w:r>
          <w:r w:rsidRPr="00A876FF">
            <w:rPr>
              <w:sz w:val="24"/>
              <w:szCs w:val="24"/>
              <w:lang w:eastAsia="cs-CZ"/>
            </w:rPr>
            <w:tab/>
          </w:r>
          <w:r w:rsidRPr="00A876FF">
            <w:rPr>
              <w:sz w:val="24"/>
              <w:szCs w:val="24"/>
              <w:lang w:eastAsia="cs-CZ"/>
            </w:rPr>
            <w:fldChar w:fldCharType="begin"/>
          </w:r>
          <w:r w:rsidRPr="00A876FF">
            <w:rPr>
              <w:sz w:val="24"/>
              <w:szCs w:val="24"/>
              <w:lang w:eastAsia="cs-CZ"/>
            </w:rPr>
            <w:instrText xml:space="preserve"> PAGEREF _Toc281822799 \h </w:instrText>
          </w:r>
          <w:r w:rsidRPr="00A876FF">
            <w:rPr>
              <w:sz w:val="24"/>
              <w:szCs w:val="24"/>
              <w:lang w:eastAsia="cs-CZ"/>
            </w:rPr>
          </w:r>
          <w:r w:rsidRPr="00A876FF">
            <w:rPr>
              <w:sz w:val="24"/>
              <w:szCs w:val="24"/>
              <w:lang w:eastAsia="cs-CZ"/>
            </w:rPr>
            <w:fldChar w:fldCharType="separate"/>
          </w:r>
          <w:r w:rsidRPr="00A876FF">
            <w:rPr>
              <w:sz w:val="24"/>
              <w:szCs w:val="24"/>
              <w:lang w:eastAsia="cs-CZ"/>
            </w:rPr>
            <w:t>11</w:t>
          </w:r>
          <w:r w:rsidRPr="00A876FF">
            <w:rPr>
              <w:sz w:val="24"/>
              <w:szCs w:val="24"/>
              <w:lang w:eastAsia="cs-CZ"/>
            </w:rPr>
            <w:fldChar w:fldCharType="end"/>
          </w:r>
        </w:p>
        <w:p w14:paraId="7342CBAE" w14:textId="77777777" w:rsidR="00A876FF" w:rsidRPr="00A876FF" w:rsidRDefault="00A876FF">
          <w:pPr>
            <w:pStyle w:val="Obsah2"/>
            <w:tabs>
              <w:tab w:val="left" w:pos="515"/>
            </w:tabs>
            <w:rPr>
              <w:noProof w:val="0"/>
              <w:sz w:val="24"/>
              <w:szCs w:val="24"/>
              <w:lang w:eastAsia="cs-CZ"/>
            </w:rPr>
          </w:pPr>
          <w:r w:rsidRPr="00A876FF">
            <w:rPr>
              <w:noProof w:val="0"/>
              <w:sz w:val="24"/>
              <w:szCs w:val="24"/>
              <w:lang w:eastAsia="cs-CZ"/>
            </w:rPr>
            <w:t>3.2</w:t>
          </w:r>
          <w:r w:rsidRPr="00A876FF">
            <w:rPr>
              <w:noProof w:val="0"/>
              <w:sz w:val="24"/>
              <w:szCs w:val="24"/>
              <w:lang w:eastAsia="cs-CZ"/>
            </w:rPr>
            <w:tab/>
            <w:t>Srovnání ČR a PL ve vybraných ukazatelích zaměstnanosti a nezaměstnanosti</w:t>
          </w:r>
          <w:r w:rsidRPr="00A876FF">
            <w:rPr>
              <w:noProof w:val="0"/>
              <w:sz w:val="24"/>
              <w:szCs w:val="24"/>
              <w:lang w:eastAsia="cs-CZ"/>
            </w:rPr>
            <w:tab/>
          </w:r>
          <w:r w:rsidRPr="00A876FF">
            <w:rPr>
              <w:noProof w:val="0"/>
              <w:sz w:val="24"/>
              <w:szCs w:val="24"/>
              <w:lang w:eastAsia="cs-CZ"/>
            </w:rPr>
            <w:fldChar w:fldCharType="begin"/>
          </w:r>
          <w:r w:rsidRPr="00A876FF">
            <w:rPr>
              <w:noProof w:val="0"/>
              <w:sz w:val="24"/>
              <w:szCs w:val="24"/>
              <w:lang w:eastAsia="cs-CZ"/>
            </w:rPr>
            <w:instrText xml:space="preserve"> PAGEREF _Toc281822800 \h </w:instrText>
          </w:r>
          <w:r w:rsidRPr="00A876FF">
            <w:rPr>
              <w:noProof w:val="0"/>
              <w:sz w:val="24"/>
              <w:szCs w:val="24"/>
              <w:lang w:eastAsia="cs-CZ"/>
            </w:rPr>
          </w:r>
          <w:r w:rsidRPr="00A876FF">
            <w:rPr>
              <w:noProof w:val="0"/>
              <w:sz w:val="24"/>
              <w:szCs w:val="24"/>
              <w:lang w:eastAsia="cs-CZ"/>
            </w:rPr>
            <w:fldChar w:fldCharType="separate"/>
          </w:r>
          <w:r w:rsidRPr="00A876FF">
            <w:rPr>
              <w:noProof w:val="0"/>
              <w:sz w:val="24"/>
              <w:szCs w:val="24"/>
              <w:lang w:eastAsia="cs-CZ"/>
            </w:rPr>
            <w:t>13</w:t>
          </w:r>
          <w:r w:rsidRPr="00A876FF">
            <w:rPr>
              <w:noProof w:val="0"/>
              <w:sz w:val="24"/>
              <w:szCs w:val="24"/>
              <w:lang w:eastAsia="cs-CZ"/>
            </w:rPr>
            <w:fldChar w:fldCharType="end"/>
          </w:r>
        </w:p>
        <w:p w14:paraId="648CC646" w14:textId="77777777" w:rsidR="00A876FF" w:rsidRPr="00A876FF" w:rsidRDefault="00A876FF">
          <w:pPr>
            <w:pStyle w:val="Obsah3"/>
            <w:tabs>
              <w:tab w:val="left" w:pos="680"/>
            </w:tabs>
            <w:rPr>
              <w:sz w:val="24"/>
              <w:szCs w:val="24"/>
              <w:lang w:eastAsia="cs-CZ"/>
            </w:rPr>
          </w:pPr>
          <w:r w:rsidRPr="00A876FF">
            <w:rPr>
              <w:sz w:val="24"/>
              <w:szCs w:val="24"/>
              <w:lang w:eastAsia="cs-CZ"/>
            </w:rPr>
            <w:t>3.2.1</w:t>
          </w:r>
          <w:r w:rsidRPr="00A876FF">
            <w:rPr>
              <w:sz w:val="24"/>
              <w:szCs w:val="24"/>
              <w:lang w:eastAsia="cs-CZ"/>
            </w:rPr>
            <w:tab/>
            <w:t>Hodnotící komentář druhé části</w:t>
          </w:r>
          <w:r w:rsidRPr="00A876FF">
            <w:rPr>
              <w:sz w:val="24"/>
              <w:szCs w:val="24"/>
              <w:lang w:eastAsia="cs-CZ"/>
            </w:rPr>
            <w:tab/>
          </w:r>
          <w:r w:rsidRPr="00A876FF">
            <w:rPr>
              <w:sz w:val="24"/>
              <w:szCs w:val="24"/>
              <w:lang w:eastAsia="cs-CZ"/>
            </w:rPr>
            <w:fldChar w:fldCharType="begin"/>
          </w:r>
          <w:r w:rsidRPr="00A876FF">
            <w:rPr>
              <w:sz w:val="24"/>
              <w:szCs w:val="24"/>
              <w:lang w:eastAsia="cs-CZ"/>
            </w:rPr>
            <w:instrText xml:space="preserve"> PAGEREF _Toc281822801 \h </w:instrText>
          </w:r>
          <w:r w:rsidRPr="00A876FF">
            <w:rPr>
              <w:sz w:val="24"/>
              <w:szCs w:val="24"/>
              <w:lang w:eastAsia="cs-CZ"/>
            </w:rPr>
          </w:r>
          <w:r w:rsidRPr="00A876FF">
            <w:rPr>
              <w:sz w:val="24"/>
              <w:szCs w:val="24"/>
              <w:lang w:eastAsia="cs-CZ"/>
            </w:rPr>
            <w:fldChar w:fldCharType="separate"/>
          </w:r>
          <w:r w:rsidRPr="00A876FF">
            <w:rPr>
              <w:sz w:val="24"/>
              <w:szCs w:val="24"/>
              <w:lang w:eastAsia="cs-CZ"/>
            </w:rPr>
            <w:t>19</w:t>
          </w:r>
          <w:r w:rsidRPr="00A876FF">
            <w:rPr>
              <w:sz w:val="24"/>
              <w:szCs w:val="24"/>
              <w:lang w:eastAsia="cs-CZ"/>
            </w:rPr>
            <w:fldChar w:fldCharType="end"/>
          </w:r>
        </w:p>
        <w:p w14:paraId="079F5336" w14:textId="77777777" w:rsidR="00A876FF" w:rsidRPr="00A876FF" w:rsidRDefault="00A876FF">
          <w:pPr>
            <w:pStyle w:val="Obsah1"/>
            <w:tabs>
              <w:tab w:val="left" w:pos="360"/>
            </w:tabs>
            <w:rPr>
              <w:b w:val="0"/>
              <w:noProof w:val="0"/>
              <w:szCs w:val="24"/>
              <w:lang w:eastAsia="cs-CZ"/>
            </w:rPr>
          </w:pPr>
          <w:r w:rsidRPr="00A876FF">
            <w:rPr>
              <w:b w:val="0"/>
              <w:noProof w:val="0"/>
              <w:szCs w:val="24"/>
              <w:lang w:eastAsia="cs-CZ"/>
            </w:rPr>
            <w:t>4</w:t>
          </w:r>
          <w:r w:rsidRPr="00A876FF">
            <w:rPr>
              <w:b w:val="0"/>
              <w:noProof w:val="0"/>
              <w:szCs w:val="24"/>
              <w:lang w:eastAsia="cs-CZ"/>
            </w:rPr>
            <w:tab/>
            <w:t>Závěr a doporučení</w:t>
          </w:r>
          <w:r w:rsidRPr="00A876FF">
            <w:rPr>
              <w:b w:val="0"/>
              <w:noProof w:val="0"/>
              <w:szCs w:val="24"/>
              <w:lang w:eastAsia="cs-CZ"/>
            </w:rPr>
            <w:tab/>
          </w:r>
          <w:r w:rsidRPr="00A876FF">
            <w:rPr>
              <w:b w:val="0"/>
              <w:noProof w:val="0"/>
              <w:szCs w:val="24"/>
              <w:lang w:eastAsia="cs-CZ"/>
            </w:rPr>
            <w:fldChar w:fldCharType="begin"/>
          </w:r>
          <w:r w:rsidRPr="00A876FF">
            <w:rPr>
              <w:b w:val="0"/>
              <w:noProof w:val="0"/>
              <w:szCs w:val="24"/>
              <w:lang w:eastAsia="cs-CZ"/>
            </w:rPr>
            <w:instrText xml:space="preserve"> PAGEREF _Toc281822802 \h </w:instrText>
          </w:r>
          <w:r w:rsidRPr="00A876FF">
            <w:rPr>
              <w:b w:val="0"/>
              <w:noProof w:val="0"/>
              <w:szCs w:val="24"/>
              <w:lang w:eastAsia="cs-CZ"/>
            </w:rPr>
          </w:r>
          <w:r w:rsidRPr="00A876FF">
            <w:rPr>
              <w:b w:val="0"/>
              <w:noProof w:val="0"/>
              <w:szCs w:val="24"/>
              <w:lang w:eastAsia="cs-CZ"/>
            </w:rPr>
            <w:fldChar w:fldCharType="separate"/>
          </w:r>
          <w:r w:rsidRPr="00A876FF">
            <w:rPr>
              <w:b w:val="0"/>
              <w:noProof w:val="0"/>
              <w:szCs w:val="24"/>
              <w:lang w:eastAsia="cs-CZ"/>
            </w:rPr>
            <w:t>21</w:t>
          </w:r>
          <w:r w:rsidRPr="00A876FF">
            <w:rPr>
              <w:b w:val="0"/>
              <w:noProof w:val="0"/>
              <w:szCs w:val="24"/>
              <w:lang w:eastAsia="cs-CZ"/>
            </w:rPr>
            <w:fldChar w:fldCharType="end"/>
          </w:r>
        </w:p>
        <w:p w14:paraId="0647E1B0" w14:textId="77777777" w:rsidR="00A876FF" w:rsidRPr="00A876FF" w:rsidRDefault="00A876FF">
          <w:pPr>
            <w:pStyle w:val="Obsah1"/>
            <w:tabs>
              <w:tab w:val="left" w:pos="360"/>
            </w:tabs>
            <w:rPr>
              <w:b w:val="0"/>
              <w:noProof w:val="0"/>
              <w:szCs w:val="24"/>
              <w:lang w:eastAsia="cs-CZ"/>
            </w:rPr>
          </w:pPr>
          <w:r w:rsidRPr="00A876FF">
            <w:rPr>
              <w:b w:val="0"/>
              <w:noProof w:val="0"/>
              <w:szCs w:val="24"/>
              <w:lang w:eastAsia="cs-CZ"/>
            </w:rPr>
            <w:t>5</w:t>
          </w:r>
          <w:r w:rsidRPr="00A876FF">
            <w:rPr>
              <w:b w:val="0"/>
              <w:noProof w:val="0"/>
              <w:szCs w:val="24"/>
              <w:lang w:eastAsia="cs-CZ"/>
            </w:rPr>
            <w:tab/>
            <w:t>Seznam použité literatury</w:t>
          </w:r>
          <w:r w:rsidRPr="00A876FF">
            <w:rPr>
              <w:b w:val="0"/>
              <w:noProof w:val="0"/>
              <w:szCs w:val="24"/>
              <w:lang w:eastAsia="cs-CZ"/>
            </w:rPr>
            <w:tab/>
          </w:r>
          <w:r w:rsidRPr="00A876FF">
            <w:rPr>
              <w:b w:val="0"/>
              <w:noProof w:val="0"/>
              <w:szCs w:val="24"/>
              <w:lang w:eastAsia="cs-CZ"/>
            </w:rPr>
            <w:fldChar w:fldCharType="begin"/>
          </w:r>
          <w:r w:rsidRPr="00A876FF">
            <w:rPr>
              <w:b w:val="0"/>
              <w:noProof w:val="0"/>
              <w:szCs w:val="24"/>
              <w:lang w:eastAsia="cs-CZ"/>
            </w:rPr>
            <w:instrText xml:space="preserve"> PAGEREF _Toc281822803 \h </w:instrText>
          </w:r>
          <w:r w:rsidRPr="00A876FF">
            <w:rPr>
              <w:b w:val="0"/>
              <w:noProof w:val="0"/>
              <w:szCs w:val="24"/>
              <w:lang w:eastAsia="cs-CZ"/>
            </w:rPr>
          </w:r>
          <w:r w:rsidRPr="00A876FF">
            <w:rPr>
              <w:b w:val="0"/>
              <w:noProof w:val="0"/>
              <w:szCs w:val="24"/>
              <w:lang w:eastAsia="cs-CZ"/>
            </w:rPr>
            <w:fldChar w:fldCharType="separate"/>
          </w:r>
          <w:r w:rsidRPr="00A876FF">
            <w:rPr>
              <w:b w:val="0"/>
              <w:noProof w:val="0"/>
              <w:szCs w:val="24"/>
              <w:lang w:eastAsia="cs-CZ"/>
            </w:rPr>
            <w:t>23</w:t>
          </w:r>
          <w:r w:rsidRPr="00A876FF">
            <w:rPr>
              <w:b w:val="0"/>
              <w:noProof w:val="0"/>
              <w:szCs w:val="24"/>
              <w:lang w:eastAsia="cs-CZ"/>
            </w:rPr>
            <w:fldChar w:fldCharType="end"/>
          </w:r>
        </w:p>
        <w:p w14:paraId="0EA9D0B7" w14:textId="77777777" w:rsidR="00A876FF" w:rsidRPr="00A876FF" w:rsidRDefault="00A876FF">
          <w:pPr>
            <w:pStyle w:val="Obsah1"/>
            <w:tabs>
              <w:tab w:val="left" w:pos="360"/>
            </w:tabs>
            <w:rPr>
              <w:b w:val="0"/>
              <w:noProof w:val="0"/>
              <w:szCs w:val="24"/>
              <w:lang w:eastAsia="cs-CZ"/>
            </w:rPr>
          </w:pPr>
          <w:r w:rsidRPr="00A876FF">
            <w:rPr>
              <w:b w:val="0"/>
              <w:noProof w:val="0"/>
              <w:szCs w:val="24"/>
              <w:lang w:eastAsia="cs-CZ"/>
            </w:rPr>
            <w:t>6</w:t>
          </w:r>
          <w:r w:rsidRPr="00A876FF">
            <w:rPr>
              <w:b w:val="0"/>
              <w:noProof w:val="0"/>
              <w:szCs w:val="24"/>
              <w:lang w:eastAsia="cs-CZ"/>
            </w:rPr>
            <w:tab/>
            <w:t>Přílohy</w:t>
          </w:r>
          <w:r w:rsidRPr="00A876FF">
            <w:rPr>
              <w:b w:val="0"/>
              <w:noProof w:val="0"/>
              <w:szCs w:val="24"/>
              <w:lang w:eastAsia="cs-CZ"/>
            </w:rPr>
            <w:tab/>
          </w:r>
          <w:r w:rsidRPr="00A876FF">
            <w:rPr>
              <w:b w:val="0"/>
              <w:noProof w:val="0"/>
              <w:szCs w:val="24"/>
              <w:lang w:eastAsia="cs-CZ"/>
            </w:rPr>
            <w:fldChar w:fldCharType="begin"/>
          </w:r>
          <w:r w:rsidRPr="00A876FF">
            <w:rPr>
              <w:b w:val="0"/>
              <w:noProof w:val="0"/>
              <w:szCs w:val="24"/>
              <w:lang w:eastAsia="cs-CZ"/>
            </w:rPr>
            <w:instrText xml:space="preserve"> PAGEREF _Toc281822804 \h </w:instrText>
          </w:r>
          <w:r w:rsidRPr="00A876FF">
            <w:rPr>
              <w:b w:val="0"/>
              <w:noProof w:val="0"/>
              <w:szCs w:val="24"/>
              <w:lang w:eastAsia="cs-CZ"/>
            </w:rPr>
          </w:r>
          <w:r w:rsidRPr="00A876FF">
            <w:rPr>
              <w:b w:val="0"/>
              <w:noProof w:val="0"/>
              <w:szCs w:val="24"/>
              <w:lang w:eastAsia="cs-CZ"/>
            </w:rPr>
            <w:fldChar w:fldCharType="separate"/>
          </w:r>
          <w:r w:rsidRPr="00A876FF">
            <w:rPr>
              <w:b w:val="0"/>
              <w:noProof w:val="0"/>
              <w:szCs w:val="24"/>
              <w:lang w:eastAsia="cs-CZ"/>
            </w:rPr>
            <w:t>25</w:t>
          </w:r>
          <w:r w:rsidRPr="00A876FF">
            <w:rPr>
              <w:b w:val="0"/>
              <w:noProof w:val="0"/>
              <w:szCs w:val="24"/>
              <w:lang w:eastAsia="cs-CZ"/>
            </w:rPr>
            <w:fldChar w:fldCharType="end"/>
          </w:r>
        </w:p>
        <w:p w14:paraId="13B11988" w14:textId="77777777" w:rsidR="006C736D" w:rsidRPr="00A876FF" w:rsidRDefault="00565EBD" w:rsidP="00625F4B">
          <w:pPr>
            <w:spacing w:after="20"/>
            <w:rPr>
              <w:szCs w:val="24"/>
              <w:lang w:eastAsia="en-US"/>
            </w:rPr>
          </w:pPr>
          <w:r w:rsidRPr="00A876FF">
            <w:rPr>
              <w:szCs w:val="24"/>
            </w:rPr>
            <w:fldChar w:fldCharType="end"/>
          </w:r>
        </w:p>
      </w:sdtContent>
    </w:sdt>
    <w:p w14:paraId="0C2D2697" w14:textId="77777777" w:rsidR="00F974E5" w:rsidRPr="00A876FF" w:rsidRDefault="00F974E5" w:rsidP="00625F4B">
      <w:pPr>
        <w:spacing w:after="20"/>
        <w:rPr>
          <w:szCs w:val="24"/>
          <w:lang w:eastAsia="en-US"/>
        </w:rPr>
      </w:pPr>
    </w:p>
    <w:p w14:paraId="3B2E1A77" w14:textId="77777777" w:rsidR="00F974E5" w:rsidRDefault="00F974E5" w:rsidP="00625F4B">
      <w:pPr>
        <w:spacing w:after="20"/>
        <w:rPr>
          <w:rFonts w:eastAsia="Calibri"/>
          <w:szCs w:val="22"/>
        </w:rPr>
      </w:pPr>
    </w:p>
    <w:p w14:paraId="72BA1621" w14:textId="77777777" w:rsidR="005870D7" w:rsidRDefault="005870D7" w:rsidP="00625F4B">
      <w:pPr>
        <w:spacing w:after="20"/>
        <w:jc w:val="left"/>
        <w:rPr>
          <w:rFonts w:eastAsia="Calibri"/>
          <w:b/>
          <w:bCs/>
          <w:sz w:val="28"/>
          <w:szCs w:val="40"/>
        </w:rPr>
      </w:pPr>
    </w:p>
    <w:p w14:paraId="67EFD417" w14:textId="77777777" w:rsidR="00217BD8" w:rsidRDefault="00217BD8" w:rsidP="00625F4B">
      <w:pPr>
        <w:spacing w:after="20"/>
        <w:jc w:val="left"/>
        <w:rPr>
          <w:rFonts w:eastAsia="Calibri"/>
          <w:b/>
          <w:bCs/>
          <w:sz w:val="28"/>
          <w:szCs w:val="40"/>
        </w:rPr>
      </w:pPr>
      <w:r>
        <w:br w:type="page"/>
      </w:r>
    </w:p>
    <w:p w14:paraId="76A869F8" w14:textId="77777777" w:rsidR="00217BD8" w:rsidRDefault="00217BD8" w:rsidP="00625F4B">
      <w:pPr>
        <w:pStyle w:val="Nadpis1"/>
        <w:numPr>
          <w:ilvl w:val="0"/>
          <w:numId w:val="0"/>
        </w:numPr>
        <w:tabs>
          <w:tab w:val="left" w:pos="7938"/>
        </w:tabs>
        <w:spacing w:after="20"/>
        <w:rPr>
          <w:rStyle w:val="Siln"/>
        </w:rPr>
      </w:pPr>
      <w:bookmarkStart w:id="1" w:name="_Toc278540157"/>
      <w:bookmarkStart w:id="2" w:name="_Toc278540194"/>
      <w:bookmarkStart w:id="3" w:name="_Toc278666224"/>
      <w:bookmarkStart w:id="4" w:name="_Toc278667501"/>
      <w:bookmarkStart w:id="5" w:name="_Toc281822686"/>
      <w:bookmarkStart w:id="6" w:name="_Toc281822785"/>
      <w:r w:rsidRPr="00BE192D">
        <w:rPr>
          <w:rStyle w:val="Siln"/>
        </w:rPr>
        <w:t>Seznam zkratek</w:t>
      </w:r>
      <w:bookmarkEnd w:id="1"/>
      <w:bookmarkEnd w:id="2"/>
      <w:bookmarkEnd w:id="3"/>
      <w:bookmarkEnd w:id="4"/>
      <w:bookmarkEnd w:id="5"/>
      <w:bookmarkEnd w:id="6"/>
    </w:p>
    <w:p w14:paraId="3C2642B9" w14:textId="77777777" w:rsidR="00AC1E5B" w:rsidRPr="00AC1E5B" w:rsidRDefault="00AC1E5B" w:rsidP="00AC1E5B">
      <w:pPr>
        <w:pStyle w:val="Nadpis2"/>
        <w:numPr>
          <w:ilvl w:val="0"/>
          <w:numId w:val="0"/>
        </w:numPr>
      </w:pPr>
    </w:p>
    <w:p w14:paraId="395573EA" w14:textId="77777777" w:rsidR="00030B57" w:rsidRDefault="00030B57" w:rsidP="00625F4B">
      <w:pPr>
        <w:spacing w:after="20"/>
        <w:rPr>
          <w:szCs w:val="24"/>
        </w:rPr>
      </w:pPr>
      <w:r>
        <w:rPr>
          <w:szCs w:val="24"/>
        </w:rPr>
        <w:t>CNB</w:t>
      </w:r>
      <w:r>
        <w:rPr>
          <w:szCs w:val="24"/>
        </w:rPr>
        <w:tab/>
      </w:r>
      <w:r>
        <w:rPr>
          <w:szCs w:val="24"/>
        </w:rPr>
        <w:tab/>
      </w:r>
      <w:r>
        <w:rPr>
          <w:szCs w:val="24"/>
        </w:rPr>
        <w:tab/>
        <w:t>Česká národní banka</w:t>
      </w:r>
    </w:p>
    <w:p w14:paraId="1E4CAEDA" w14:textId="77777777" w:rsidR="00030B57" w:rsidRDefault="00030B57" w:rsidP="00625F4B">
      <w:pPr>
        <w:spacing w:after="20"/>
        <w:rPr>
          <w:szCs w:val="24"/>
        </w:rPr>
      </w:pPr>
      <w:r>
        <w:rPr>
          <w:szCs w:val="24"/>
        </w:rPr>
        <w:t>CZSO</w:t>
      </w:r>
      <w:r>
        <w:rPr>
          <w:szCs w:val="24"/>
        </w:rPr>
        <w:tab/>
      </w:r>
      <w:r>
        <w:rPr>
          <w:szCs w:val="24"/>
        </w:rPr>
        <w:tab/>
      </w:r>
      <w:r>
        <w:rPr>
          <w:szCs w:val="24"/>
        </w:rPr>
        <w:tab/>
        <w:t>Český statistický úřad</w:t>
      </w:r>
    </w:p>
    <w:p w14:paraId="7EDCA8AC" w14:textId="77777777" w:rsidR="00030B57" w:rsidRPr="00217BD8" w:rsidRDefault="00030B57" w:rsidP="00625F4B">
      <w:pPr>
        <w:spacing w:after="20"/>
        <w:rPr>
          <w:szCs w:val="24"/>
        </w:rPr>
      </w:pPr>
      <w:r w:rsidRPr="00217BD8">
        <w:rPr>
          <w:szCs w:val="24"/>
        </w:rPr>
        <w:t>ČR</w:t>
      </w:r>
      <w:r w:rsidRPr="00217BD8">
        <w:rPr>
          <w:szCs w:val="24"/>
        </w:rPr>
        <w:tab/>
      </w:r>
      <w:r w:rsidRPr="00217BD8">
        <w:rPr>
          <w:szCs w:val="24"/>
        </w:rPr>
        <w:tab/>
      </w:r>
      <w:r w:rsidRPr="00217BD8">
        <w:rPr>
          <w:szCs w:val="24"/>
        </w:rPr>
        <w:tab/>
        <w:t>Česká Republika</w:t>
      </w:r>
    </w:p>
    <w:p w14:paraId="723FD9A0" w14:textId="77777777" w:rsidR="00030B57" w:rsidRDefault="00030B57" w:rsidP="00625F4B">
      <w:pPr>
        <w:spacing w:after="20"/>
        <w:rPr>
          <w:szCs w:val="24"/>
        </w:rPr>
      </w:pPr>
      <w:r w:rsidRPr="00217BD8">
        <w:rPr>
          <w:szCs w:val="24"/>
        </w:rPr>
        <w:t>EU</w:t>
      </w:r>
      <w:r w:rsidRPr="00217BD8">
        <w:rPr>
          <w:szCs w:val="24"/>
        </w:rPr>
        <w:tab/>
      </w:r>
      <w:r w:rsidRPr="00217BD8">
        <w:rPr>
          <w:szCs w:val="24"/>
        </w:rPr>
        <w:tab/>
      </w:r>
      <w:r>
        <w:rPr>
          <w:szCs w:val="24"/>
        </w:rPr>
        <w:tab/>
        <w:t>Evrops</w:t>
      </w:r>
      <w:r w:rsidRPr="00217BD8">
        <w:rPr>
          <w:szCs w:val="24"/>
        </w:rPr>
        <w:t xml:space="preserve">ká unie </w:t>
      </w:r>
    </w:p>
    <w:p w14:paraId="168CB4CE" w14:textId="77777777" w:rsidR="00030B57" w:rsidRDefault="00030B57" w:rsidP="00625F4B">
      <w:pPr>
        <w:spacing w:after="20"/>
        <w:rPr>
          <w:szCs w:val="24"/>
        </w:rPr>
      </w:pPr>
      <w:r>
        <w:rPr>
          <w:szCs w:val="24"/>
        </w:rPr>
        <w:t>EURO</w:t>
      </w:r>
      <w:r>
        <w:rPr>
          <w:szCs w:val="24"/>
        </w:rPr>
        <w:tab/>
      </w:r>
      <w:r>
        <w:rPr>
          <w:szCs w:val="24"/>
        </w:rPr>
        <w:tab/>
      </w:r>
      <w:r>
        <w:rPr>
          <w:szCs w:val="24"/>
        </w:rPr>
        <w:tab/>
        <w:t>Evropská měna</w:t>
      </w:r>
    </w:p>
    <w:p w14:paraId="2F01090C" w14:textId="77777777" w:rsidR="00030B57" w:rsidRDefault="00030B57" w:rsidP="00625F4B">
      <w:pPr>
        <w:spacing w:after="20"/>
        <w:rPr>
          <w:szCs w:val="24"/>
        </w:rPr>
      </w:pPr>
      <w:r>
        <w:rPr>
          <w:szCs w:val="24"/>
        </w:rPr>
        <w:t>EURO (28)</w:t>
      </w:r>
      <w:r>
        <w:rPr>
          <w:szCs w:val="24"/>
        </w:rPr>
        <w:tab/>
      </w:r>
      <w:r>
        <w:rPr>
          <w:szCs w:val="24"/>
        </w:rPr>
        <w:tab/>
        <w:t>28 státu Evropské unie, tzv. Eurozóna</w:t>
      </w:r>
    </w:p>
    <w:p w14:paraId="55C4CC67" w14:textId="77777777" w:rsidR="00030B57" w:rsidRDefault="00030B57" w:rsidP="00625F4B">
      <w:pPr>
        <w:spacing w:after="20"/>
        <w:rPr>
          <w:szCs w:val="24"/>
        </w:rPr>
      </w:pPr>
      <w:r>
        <w:rPr>
          <w:szCs w:val="24"/>
        </w:rPr>
        <w:t>HDP</w:t>
      </w:r>
      <w:r>
        <w:rPr>
          <w:szCs w:val="24"/>
        </w:rPr>
        <w:tab/>
      </w:r>
      <w:r>
        <w:rPr>
          <w:szCs w:val="24"/>
        </w:rPr>
        <w:tab/>
      </w:r>
      <w:r>
        <w:rPr>
          <w:szCs w:val="24"/>
        </w:rPr>
        <w:tab/>
        <w:t>Hrubý domácí produkt</w:t>
      </w:r>
    </w:p>
    <w:p w14:paraId="79E26A59" w14:textId="77777777" w:rsidR="00030B57" w:rsidRPr="00DB3799" w:rsidRDefault="00030B57" w:rsidP="00625F4B">
      <w:pPr>
        <w:spacing w:after="20"/>
        <w:rPr>
          <w:szCs w:val="24"/>
        </w:rPr>
      </w:pPr>
      <w:r>
        <w:rPr>
          <w:szCs w:val="24"/>
        </w:rPr>
        <w:t>MZV</w:t>
      </w:r>
      <w:r>
        <w:rPr>
          <w:szCs w:val="24"/>
        </w:rPr>
        <w:tab/>
      </w:r>
      <w:r>
        <w:rPr>
          <w:szCs w:val="24"/>
        </w:rPr>
        <w:tab/>
      </w:r>
      <w:r>
        <w:rPr>
          <w:szCs w:val="24"/>
        </w:rPr>
        <w:tab/>
        <w:t>Ministerstvo zahraničních věcí</w:t>
      </w:r>
    </w:p>
    <w:p w14:paraId="7E16DDDA" w14:textId="77777777" w:rsidR="00030B57" w:rsidRPr="00217BD8" w:rsidRDefault="00030B57" w:rsidP="00625F4B">
      <w:pPr>
        <w:spacing w:after="20"/>
        <w:rPr>
          <w:szCs w:val="24"/>
        </w:rPr>
      </w:pPr>
      <w:r w:rsidRPr="00217BD8">
        <w:rPr>
          <w:szCs w:val="24"/>
        </w:rPr>
        <w:t>PL</w:t>
      </w:r>
      <w:r w:rsidRPr="00217BD8">
        <w:rPr>
          <w:szCs w:val="24"/>
        </w:rPr>
        <w:tab/>
      </w:r>
      <w:r>
        <w:rPr>
          <w:szCs w:val="24"/>
        </w:rPr>
        <w:tab/>
      </w:r>
      <w:r>
        <w:rPr>
          <w:szCs w:val="24"/>
        </w:rPr>
        <w:tab/>
      </w:r>
      <w:r w:rsidRPr="00217BD8">
        <w:rPr>
          <w:szCs w:val="24"/>
        </w:rPr>
        <w:t>Polsko</w:t>
      </w:r>
    </w:p>
    <w:p w14:paraId="0D110A39" w14:textId="77777777" w:rsidR="005A7DF2" w:rsidRDefault="005A7DF2" w:rsidP="00625F4B">
      <w:pPr>
        <w:pStyle w:val="Nadpis4"/>
        <w:numPr>
          <w:ilvl w:val="0"/>
          <w:numId w:val="0"/>
        </w:numPr>
        <w:ind w:left="864"/>
      </w:pPr>
    </w:p>
    <w:p w14:paraId="61C1DED5" w14:textId="77777777" w:rsidR="005A7DF2" w:rsidRDefault="005A7DF2" w:rsidP="00625F4B">
      <w:pPr>
        <w:pStyle w:val="Nadpis5"/>
        <w:numPr>
          <w:ilvl w:val="0"/>
          <w:numId w:val="0"/>
        </w:numPr>
        <w:ind w:left="1008"/>
      </w:pPr>
    </w:p>
    <w:p w14:paraId="658E7F12" w14:textId="77777777" w:rsidR="005A7DF2" w:rsidRDefault="005A7DF2" w:rsidP="00625F4B"/>
    <w:p w14:paraId="26ADD2BF" w14:textId="77777777" w:rsidR="005A7DF2" w:rsidRDefault="005A7DF2" w:rsidP="00625F4B"/>
    <w:p w14:paraId="757AB0DE" w14:textId="77777777" w:rsidR="005A7DF2" w:rsidRDefault="005A7DF2" w:rsidP="00625F4B"/>
    <w:p w14:paraId="7EE0196C" w14:textId="77777777" w:rsidR="005A7DF2" w:rsidRDefault="005A7DF2" w:rsidP="00625F4B"/>
    <w:p w14:paraId="763C5046" w14:textId="77777777" w:rsidR="005A7DF2" w:rsidRDefault="005A7DF2" w:rsidP="00625F4B"/>
    <w:p w14:paraId="02E07A01" w14:textId="77777777" w:rsidR="005A7DF2" w:rsidRDefault="005A7DF2" w:rsidP="00625F4B"/>
    <w:p w14:paraId="78B5337B" w14:textId="77777777" w:rsidR="005A7DF2" w:rsidRDefault="005A7DF2" w:rsidP="00625F4B"/>
    <w:p w14:paraId="5A84DB96" w14:textId="77777777" w:rsidR="005A7DF2" w:rsidRDefault="005A7DF2" w:rsidP="00625F4B"/>
    <w:p w14:paraId="35E8FB9C" w14:textId="77777777" w:rsidR="005A7DF2" w:rsidRDefault="005A7DF2" w:rsidP="00625F4B"/>
    <w:p w14:paraId="46095BA6" w14:textId="77777777" w:rsidR="005A7DF2" w:rsidRDefault="005A7DF2" w:rsidP="00625F4B"/>
    <w:p w14:paraId="700DD02F" w14:textId="77777777" w:rsidR="005A7DF2" w:rsidRDefault="005A7DF2" w:rsidP="00625F4B"/>
    <w:p w14:paraId="5CF895F5" w14:textId="77777777" w:rsidR="005A7DF2" w:rsidRDefault="005A7DF2" w:rsidP="00625F4B"/>
    <w:p w14:paraId="479DADA6" w14:textId="77777777" w:rsidR="005A7DF2" w:rsidRDefault="005A7DF2" w:rsidP="00625F4B"/>
    <w:p w14:paraId="071B8463" w14:textId="77777777" w:rsidR="005A7DF2" w:rsidRDefault="005A7DF2" w:rsidP="00625F4B"/>
    <w:p w14:paraId="45B27D97" w14:textId="77777777" w:rsidR="005A7DF2" w:rsidRDefault="005A7DF2" w:rsidP="00625F4B"/>
    <w:p w14:paraId="6B88E976" w14:textId="77777777" w:rsidR="005A7DF2" w:rsidRDefault="005A7DF2" w:rsidP="00625F4B"/>
    <w:p w14:paraId="7E714B60" w14:textId="77777777" w:rsidR="005A7DF2" w:rsidRDefault="005A7DF2" w:rsidP="00625F4B"/>
    <w:p w14:paraId="5B659749" w14:textId="77777777" w:rsidR="005A7DF2" w:rsidRDefault="005A7DF2" w:rsidP="00625F4B"/>
    <w:p w14:paraId="6369BDA2" w14:textId="77777777" w:rsidR="005A7DF2" w:rsidRDefault="005A7DF2" w:rsidP="00625F4B"/>
    <w:p w14:paraId="6A9CE231" w14:textId="77777777" w:rsidR="005A7DF2" w:rsidRDefault="005A7DF2" w:rsidP="00625F4B"/>
    <w:p w14:paraId="1F9E52AF" w14:textId="77777777" w:rsidR="005A7DF2" w:rsidRDefault="005A7DF2" w:rsidP="00625F4B"/>
    <w:p w14:paraId="17D6D819" w14:textId="77777777" w:rsidR="005A7DF2" w:rsidRDefault="005A7DF2" w:rsidP="00625F4B"/>
    <w:p w14:paraId="2F351BB0" w14:textId="77777777" w:rsidR="00057C47" w:rsidRPr="005A7DF2" w:rsidRDefault="00057C47" w:rsidP="00625F4B">
      <w:pPr>
        <w:jc w:val="left"/>
        <w:rPr>
          <w:rStyle w:val="Siln"/>
          <w:b w:val="0"/>
          <w:sz w:val="32"/>
          <w:szCs w:val="32"/>
        </w:rPr>
        <w:sectPr w:rsidR="00057C47" w:rsidRPr="005A7DF2" w:rsidSect="00E14A51">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418" w:left="2268" w:header="709" w:footer="442" w:gutter="0"/>
          <w:cols w:space="708"/>
          <w:docGrid w:linePitch="326"/>
        </w:sectPr>
      </w:pPr>
    </w:p>
    <w:p w14:paraId="7A8B178F" w14:textId="77777777" w:rsidR="00F974E5" w:rsidRDefault="00F974E5" w:rsidP="00625F4B">
      <w:pPr>
        <w:pStyle w:val="Nadpis1"/>
        <w:spacing w:after="20"/>
      </w:pPr>
      <w:bookmarkStart w:id="7" w:name="_Toc281822786"/>
      <w:r>
        <w:t>Úvod</w:t>
      </w:r>
      <w:bookmarkEnd w:id="7"/>
      <w:r w:rsidR="009C6517">
        <w:t xml:space="preserve"> </w:t>
      </w:r>
    </w:p>
    <w:p w14:paraId="4513B884" w14:textId="77777777" w:rsidR="003A0FF4" w:rsidRDefault="003A0FF4" w:rsidP="00625F4B">
      <w:pPr>
        <w:spacing w:after="20"/>
        <w:rPr>
          <w:szCs w:val="24"/>
        </w:rPr>
      </w:pPr>
      <w:r>
        <w:rPr>
          <w:szCs w:val="24"/>
        </w:rPr>
        <w:t>Doba</w:t>
      </w:r>
      <w:r w:rsidR="00C52E01">
        <w:rPr>
          <w:szCs w:val="24"/>
        </w:rPr>
        <w:t>,</w:t>
      </w:r>
      <w:r>
        <w:rPr>
          <w:szCs w:val="24"/>
        </w:rPr>
        <w:t xml:space="preserve"> ve které žijeme</w:t>
      </w:r>
      <w:r w:rsidR="00C52E01">
        <w:rPr>
          <w:szCs w:val="24"/>
        </w:rPr>
        <w:t>,</w:t>
      </w:r>
      <w:r>
        <w:rPr>
          <w:szCs w:val="24"/>
        </w:rPr>
        <w:t xml:space="preserve"> má přímý vliv na každého jedince. Vše se zrychluje a globalizuje. Možná si to ani neuvědomujeme, prot</w:t>
      </w:r>
      <w:r w:rsidR="003D538A">
        <w:rPr>
          <w:szCs w:val="24"/>
        </w:rPr>
        <w:t>ože některé změny jsou pozvolné. S</w:t>
      </w:r>
      <w:r>
        <w:rPr>
          <w:szCs w:val="24"/>
        </w:rPr>
        <w:t> některými chvíli bojujeme a po nějakém čase se s nimi naučíme žít. Každá změna nás ale formuje a mění naše životy ať chceme nebo nechceme.</w:t>
      </w:r>
    </w:p>
    <w:p w14:paraId="209A8BA1" w14:textId="77777777" w:rsidR="003A0FF4" w:rsidRDefault="003A0FF4" w:rsidP="00625F4B">
      <w:pPr>
        <w:spacing w:after="20"/>
        <w:rPr>
          <w:szCs w:val="24"/>
        </w:rPr>
      </w:pPr>
      <w:r>
        <w:rPr>
          <w:szCs w:val="24"/>
        </w:rPr>
        <w:t>Fakt, že Česká republika patří do Evropské unie s sebou přineslo spoustu změn. Mezi tyto změny patří i globalizace pracovních míst a přesun mezi jednotlivými státy v rámci EU, ale i do zbytku světa.</w:t>
      </w:r>
    </w:p>
    <w:p w14:paraId="63EB53A3" w14:textId="125FE05C" w:rsidR="003A0FF4" w:rsidRDefault="003A0FF4" w:rsidP="00625F4B">
      <w:pPr>
        <w:spacing w:after="20"/>
        <w:rPr>
          <w:szCs w:val="24"/>
        </w:rPr>
      </w:pPr>
      <w:r>
        <w:rPr>
          <w:szCs w:val="24"/>
        </w:rPr>
        <w:t>Česko a Polsko bylo pro srovnání vybráno, protože</w:t>
      </w:r>
      <w:r w:rsidR="0013108D">
        <w:rPr>
          <w:szCs w:val="24"/>
        </w:rPr>
        <w:t xml:space="preserve"> spolu tyto státy sdílí hranice a tím se navzájem velmi ovlivňují. Dalším důvodem pro výběr bylo, že oba státy vstoupily do EU ve stejném roce a zatím nepřijaly evropskou měnu- euro, jako své platidlo. </w:t>
      </w:r>
    </w:p>
    <w:p w14:paraId="55F47E3D" w14:textId="77777777" w:rsidR="003A0FF4" w:rsidRPr="00DB3799" w:rsidRDefault="003A0FF4" w:rsidP="00625F4B">
      <w:pPr>
        <w:spacing w:after="20"/>
        <w:rPr>
          <w:szCs w:val="24"/>
        </w:rPr>
      </w:pPr>
      <w:r>
        <w:rPr>
          <w:szCs w:val="24"/>
        </w:rPr>
        <w:t>Tato seminární práce bude porovnávat Českou Republiku a Polsko ve vybraných ukazatelích zaměstnanosti a nezaměstnanosti, dále budou tyto uk</w:t>
      </w:r>
      <w:r w:rsidR="00DB3799">
        <w:rPr>
          <w:szCs w:val="24"/>
        </w:rPr>
        <w:t>azatele porovnány k průměrům EU (28). Všechny podklady k porovnání jsou získány z veřejných zdrojů společnosti Eutostat</w:t>
      </w:r>
      <w:r w:rsidR="00372310">
        <w:rPr>
          <w:szCs w:val="24"/>
        </w:rPr>
        <w:t xml:space="preserve"> (Europen Commision, 2014)</w:t>
      </w:r>
      <w:r w:rsidR="00DB3799">
        <w:rPr>
          <w:szCs w:val="24"/>
        </w:rPr>
        <w:t xml:space="preserve">. </w:t>
      </w:r>
    </w:p>
    <w:p w14:paraId="1F9BC4D3" w14:textId="77777777" w:rsidR="009C6517" w:rsidRDefault="003A0FF4" w:rsidP="00625F4B">
      <w:pPr>
        <w:pStyle w:val="Nadpis2"/>
        <w:spacing w:after="20"/>
      </w:pPr>
      <w:bookmarkStart w:id="8" w:name="_Toc281822787"/>
      <w:r>
        <w:t>Cíl a metodika práce</w:t>
      </w:r>
      <w:bookmarkEnd w:id="8"/>
      <w:r>
        <w:t xml:space="preserve"> </w:t>
      </w:r>
    </w:p>
    <w:p w14:paraId="35DAA440" w14:textId="77777777" w:rsidR="009A3FE8" w:rsidRPr="00816712" w:rsidRDefault="00DB3799" w:rsidP="00625F4B">
      <w:r w:rsidRPr="00816712">
        <w:t>Cílem této seminární práce je por</w:t>
      </w:r>
      <w:r w:rsidR="00C76EE7" w:rsidRPr="00816712">
        <w:t>ovnání základních makroekonomických ukazatelů a strukturálních ukazatelů v oblasti zaměstnanosti a</w:t>
      </w:r>
      <w:r w:rsidRPr="00816712">
        <w:t xml:space="preserve"> nezaměstnanosti České republiky a Polska, ve stanoveném časovém období. Pro představu jak si tyto státy stojí s ostatními zeměmi, je přidán </w:t>
      </w:r>
      <w:r w:rsidR="003D538A">
        <w:t xml:space="preserve">průměrný </w:t>
      </w:r>
      <w:r w:rsidRPr="00816712">
        <w:t xml:space="preserve">údaj o státech EU (28). K dosažení byly stanoveny tyto dílčí cíle: </w:t>
      </w:r>
    </w:p>
    <w:p w14:paraId="1FDBFDAC" w14:textId="77777777" w:rsidR="00DB3799" w:rsidRDefault="00DB3799" w:rsidP="00625F4B">
      <w:pPr>
        <w:pStyle w:val="Odstavecseseznamem"/>
        <w:numPr>
          <w:ilvl w:val="0"/>
          <w:numId w:val="11"/>
        </w:numPr>
      </w:pPr>
      <w:r>
        <w:t>srovnání obou států podle dostupných obecných informací v současné literatuře</w:t>
      </w:r>
    </w:p>
    <w:p w14:paraId="559F81D4" w14:textId="77777777" w:rsidR="00DB3799" w:rsidRDefault="00DB3799" w:rsidP="00625F4B">
      <w:pPr>
        <w:pStyle w:val="Odstavecseseznamem"/>
        <w:numPr>
          <w:ilvl w:val="0"/>
          <w:numId w:val="11"/>
        </w:numPr>
      </w:pPr>
      <w:r>
        <w:t>výběr relevantních ukazatelů a komparace obou zemí</w:t>
      </w:r>
    </w:p>
    <w:p w14:paraId="634493C1" w14:textId="77777777" w:rsidR="00DB3799" w:rsidRDefault="00DB3799" w:rsidP="00625F4B">
      <w:pPr>
        <w:pStyle w:val="Odstavecseseznamem"/>
        <w:numPr>
          <w:ilvl w:val="0"/>
          <w:numId w:val="11"/>
        </w:numPr>
      </w:pPr>
      <w:r>
        <w:t xml:space="preserve">vlastní hodnocení </w:t>
      </w:r>
      <w:r w:rsidR="00C76EE7">
        <w:t>zjištěných výsledků</w:t>
      </w:r>
    </w:p>
    <w:p w14:paraId="58E548F9" w14:textId="77777777" w:rsidR="00C76EE7" w:rsidRDefault="00C76EE7" w:rsidP="00625F4B">
      <w:r>
        <w:t xml:space="preserve">Pro psaní této seminární práce autorka využila důvěryhodné internetové zdroje a dostupnou literaturu, jež se zabývá požadovanými zkoumanými oblastmi. Dále je v seminární práci využita </w:t>
      </w:r>
      <w:r w:rsidR="00372310">
        <w:t xml:space="preserve">metoda Evaluace. Tato metoda se skládá z nashromážděných informací autora, které řádně prostuduje a výsledek vyhodnotí. U této seminární práce je výsledkem ekonomické postavení České republiky a Polska a následné srovnání i s průměrem  států EU (28). Údaje jsou srovnávány od roku 2008 až 2013, kromě posledního porovnávaného údaje, kterým je státní dluh. K tomuto srovnání byly dostupné informace pouze od roku 2010. </w:t>
      </w:r>
    </w:p>
    <w:p w14:paraId="6F2D6DF1" w14:textId="77777777" w:rsidR="00372310" w:rsidRDefault="00372310" w:rsidP="00625F4B">
      <w:r>
        <w:t xml:space="preserve">Data byly sbírána v období září – listopad 2014. Následně byla do grafů vkládána po </w:t>
      </w:r>
      <w:r w:rsidR="003D538A">
        <w:t>letech dle konkrétních zemí (ČR,</w:t>
      </w:r>
      <w:r>
        <w:t xml:space="preserve"> Polsko, EU (28)). Grafy jsou vytvořeny v aplikaci EXCEL 2010 a upraveny v jednotném formátu do tabulek a grafů. Tabulky v přílohách jsou upraveny v iP</w:t>
      </w:r>
      <w:r w:rsidR="00097FD1">
        <w:t xml:space="preserve">hoto, kdy pro lepší přehlednost byly ořezány a ponechány pouze požadované údaje. </w:t>
      </w:r>
    </w:p>
    <w:p w14:paraId="3CDFAF8F" w14:textId="77777777" w:rsidR="009A3FE8" w:rsidRPr="00097FD1" w:rsidRDefault="00097FD1" w:rsidP="00625F4B">
      <w:r>
        <w:t>V závěru každého porovnání jsou každý graf</w:t>
      </w:r>
      <w:r w:rsidR="003D538A">
        <w:t>y</w:t>
      </w:r>
      <w:r>
        <w:t xml:space="preserve"> a výsledky zhodnoceny vlastním názorem autorky, vyplývajícího z výsledku grafu. Na závěr celé subkapitoly je hodnotící komentář shrnující všechny dosavadní výsledky.</w:t>
      </w:r>
    </w:p>
    <w:p w14:paraId="6C5EE846" w14:textId="129AB903" w:rsidR="00713BEC" w:rsidRDefault="00B00CFC" w:rsidP="00625F4B">
      <w:pPr>
        <w:pStyle w:val="Nadpis1"/>
        <w:spacing w:after="20"/>
      </w:pPr>
      <w:bookmarkStart w:id="9" w:name="_Toc281822788"/>
      <w:r>
        <w:t>Teoreticko-metodická část</w:t>
      </w:r>
      <w:r w:rsidR="00815D48" w:rsidRPr="009C6517">
        <w:t xml:space="preserve"> </w:t>
      </w:r>
      <w:r w:rsidR="00A876FF">
        <w:t>seminární práce</w:t>
      </w:r>
      <w:bookmarkEnd w:id="9"/>
    </w:p>
    <w:p w14:paraId="1001B1C7" w14:textId="77777777" w:rsidR="00B00CFC" w:rsidRPr="00B00CFC" w:rsidRDefault="00097FD1" w:rsidP="00625F4B">
      <w:pPr>
        <w:spacing w:after="20"/>
      </w:pPr>
      <w:r>
        <w:t xml:space="preserve">V této </w:t>
      </w:r>
      <w:r w:rsidR="00B00CFC">
        <w:t>č</w:t>
      </w:r>
      <w:r>
        <w:t>ásti seminární práce je věnován prostor,</w:t>
      </w:r>
      <w:r w:rsidR="00B00CFC">
        <w:t xml:space="preserve"> nejdříve obecnému srovná</w:t>
      </w:r>
      <w:r w:rsidR="008F75DB">
        <w:t>ní ČR a Polska v rámci strategie EU- Evropa 2020. Dále jsou vysvětleny základní pojmy, využity v průběhu této seminární práce.</w:t>
      </w:r>
    </w:p>
    <w:p w14:paraId="2C0DEBF2" w14:textId="77777777" w:rsidR="00BE192D" w:rsidRPr="00BE192D" w:rsidRDefault="009C6517" w:rsidP="00625F4B">
      <w:pPr>
        <w:pStyle w:val="Nadpis2"/>
        <w:spacing w:after="20"/>
      </w:pPr>
      <w:bookmarkStart w:id="10" w:name="_Toc281822789"/>
      <w:r w:rsidRPr="009C6517">
        <w:t xml:space="preserve">Srovnání ČR a </w:t>
      </w:r>
      <w:r w:rsidR="008F75DB">
        <w:t>P</w:t>
      </w:r>
      <w:r w:rsidR="00FB0773">
        <w:t>L</w:t>
      </w:r>
      <w:bookmarkEnd w:id="10"/>
    </w:p>
    <w:p w14:paraId="2D2175C9" w14:textId="77777777" w:rsidR="003F6A8B" w:rsidRPr="008F75DB" w:rsidRDefault="008F75DB" w:rsidP="00625F4B">
      <w:pPr>
        <w:spacing w:after="20"/>
        <w:rPr>
          <w:color w:val="212121"/>
          <w:szCs w:val="24"/>
          <w:shd w:val="clear" w:color="auto" w:fill="FFFFFF"/>
        </w:rPr>
      </w:pPr>
      <w:r w:rsidRPr="008F75DB">
        <w:rPr>
          <w:color w:val="212121"/>
          <w:szCs w:val="24"/>
          <w:shd w:val="clear" w:color="auto" w:fill="FFFFFF"/>
        </w:rPr>
        <w:t>Základní informace srovnávaných členskýc</w:t>
      </w:r>
      <w:r w:rsidR="00F105C5">
        <w:rPr>
          <w:color w:val="212121"/>
          <w:szCs w:val="24"/>
          <w:shd w:val="clear" w:color="auto" w:fill="FFFFFF"/>
        </w:rPr>
        <w:t>h států Evropské unie.</w:t>
      </w:r>
    </w:p>
    <w:p w14:paraId="77B075CF" w14:textId="77777777" w:rsidR="009C6517" w:rsidRDefault="003F6A8B" w:rsidP="00625F4B">
      <w:pPr>
        <w:pStyle w:val="Nadpis3"/>
      </w:pPr>
      <w:bookmarkStart w:id="11" w:name="_Toc281822790"/>
      <w:r w:rsidRPr="002D42D6">
        <w:t>Česká republika</w:t>
      </w:r>
      <w:bookmarkEnd w:id="11"/>
    </w:p>
    <w:p w14:paraId="47A48594" w14:textId="77777777" w:rsidR="00B13A06" w:rsidRDefault="00B13A06" w:rsidP="00625F4B">
      <w:pPr>
        <w:pStyle w:val="Nadpis4"/>
        <w:numPr>
          <w:ilvl w:val="0"/>
          <w:numId w:val="0"/>
        </w:numPr>
        <w:ind w:left="864" w:hanging="864"/>
        <w:rPr>
          <w:b/>
          <w:color w:val="212121"/>
          <w:szCs w:val="24"/>
          <w:u w:val="single"/>
          <w:shd w:val="clear" w:color="auto" w:fill="FFFFFF"/>
        </w:rPr>
      </w:pPr>
      <w:r w:rsidRPr="008F75DB">
        <w:rPr>
          <w:b/>
          <w:color w:val="212121"/>
          <w:szCs w:val="24"/>
          <w:u w:val="single"/>
          <w:shd w:val="clear" w:color="auto" w:fill="FFFFFF"/>
        </w:rPr>
        <w:t>Česká republika</w:t>
      </w:r>
    </w:p>
    <w:p w14:paraId="0DA55084" w14:textId="77777777" w:rsidR="00B13A06" w:rsidRPr="00B13A06" w:rsidRDefault="00B13A06" w:rsidP="00625F4B">
      <w:pPr>
        <w:spacing w:after="20"/>
        <w:rPr>
          <w:szCs w:val="24"/>
        </w:rPr>
      </w:pPr>
      <w:r w:rsidRPr="00B13A06">
        <w:rPr>
          <w:b/>
          <w:szCs w:val="24"/>
        </w:rPr>
        <w:t>Rok vstupu do EU: </w:t>
      </w:r>
      <w:r w:rsidRPr="00B13A06">
        <w:rPr>
          <w:szCs w:val="24"/>
        </w:rPr>
        <w:t>2004</w:t>
      </w:r>
    </w:p>
    <w:p w14:paraId="1A0E91F3" w14:textId="77777777" w:rsidR="00B13A06" w:rsidRPr="00B13A06" w:rsidRDefault="00B13A06" w:rsidP="00625F4B">
      <w:pPr>
        <w:spacing w:after="20"/>
        <w:rPr>
          <w:szCs w:val="24"/>
        </w:rPr>
      </w:pPr>
      <w:r w:rsidRPr="00B13A06">
        <w:rPr>
          <w:b/>
          <w:szCs w:val="24"/>
        </w:rPr>
        <w:t>Hlavní město: </w:t>
      </w:r>
      <w:r w:rsidRPr="00B13A06">
        <w:rPr>
          <w:szCs w:val="24"/>
        </w:rPr>
        <w:t>Praha</w:t>
      </w:r>
    </w:p>
    <w:p w14:paraId="3C01E162" w14:textId="77777777" w:rsidR="00B13A06" w:rsidRPr="00B13A06" w:rsidRDefault="00B13A06" w:rsidP="00625F4B">
      <w:pPr>
        <w:spacing w:after="20"/>
        <w:rPr>
          <w:szCs w:val="24"/>
        </w:rPr>
      </w:pPr>
      <w:r w:rsidRPr="00B13A06">
        <w:rPr>
          <w:b/>
          <w:szCs w:val="24"/>
        </w:rPr>
        <w:t>Rozloha: </w:t>
      </w:r>
      <w:r w:rsidRPr="00B13A06">
        <w:rPr>
          <w:szCs w:val="24"/>
        </w:rPr>
        <w:t>78 866 km²</w:t>
      </w:r>
    </w:p>
    <w:p w14:paraId="2F3038BB" w14:textId="77777777" w:rsidR="00B13A06" w:rsidRPr="00B13A06" w:rsidRDefault="00B13A06" w:rsidP="00625F4B">
      <w:pPr>
        <w:spacing w:after="20"/>
        <w:rPr>
          <w:szCs w:val="24"/>
        </w:rPr>
      </w:pPr>
      <w:r w:rsidRPr="00B13A06">
        <w:rPr>
          <w:b/>
          <w:szCs w:val="24"/>
        </w:rPr>
        <w:t>Počet obyvatel: </w:t>
      </w:r>
      <w:r w:rsidRPr="00B13A06">
        <w:rPr>
          <w:szCs w:val="24"/>
        </w:rPr>
        <w:t>10,5 milionu</w:t>
      </w:r>
    </w:p>
    <w:p w14:paraId="67FD2663" w14:textId="77777777" w:rsidR="00B13A06" w:rsidRPr="00B13A06" w:rsidRDefault="00B13A06" w:rsidP="00625F4B">
      <w:pPr>
        <w:spacing w:after="20"/>
        <w:rPr>
          <w:szCs w:val="24"/>
        </w:rPr>
      </w:pPr>
      <w:r w:rsidRPr="00B13A06">
        <w:rPr>
          <w:b/>
          <w:szCs w:val="24"/>
        </w:rPr>
        <w:t>Měna: </w:t>
      </w:r>
      <w:r w:rsidRPr="00B13A06">
        <w:rPr>
          <w:szCs w:val="24"/>
        </w:rPr>
        <w:t>česká koruna (Kč)</w:t>
      </w:r>
    </w:p>
    <w:p w14:paraId="75B6969A" w14:textId="77777777" w:rsidR="00B13A06" w:rsidRPr="00B13A06" w:rsidRDefault="00B13A06" w:rsidP="00625F4B">
      <w:pPr>
        <w:spacing w:after="20"/>
        <w:rPr>
          <w:szCs w:val="24"/>
        </w:rPr>
      </w:pPr>
      <w:r w:rsidRPr="00B13A06">
        <w:rPr>
          <w:b/>
          <w:szCs w:val="24"/>
        </w:rPr>
        <w:t>Úřední jazyk:</w:t>
      </w:r>
      <w:r w:rsidRPr="00B13A06">
        <w:rPr>
          <w:szCs w:val="24"/>
        </w:rPr>
        <w:t xml:space="preserve"> čeština</w:t>
      </w:r>
    </w:p>
    <w:p w14:paraId="78BC8EB3" w14:textId="77777777" w:rsidR="00B13A06" w:rsidRPr="00B13A06" w:rsidRDefault="00B13A06" w:rsidP="00625F4B">
      <w:pPr>
        <w:spacing w:after="20"/>
        <w:rPr>
          <w:szCs w:val="24"/>
        </w:rPr>
      </w:pPr>
      <w:r w:rsidRPr="00B13A06">
        <w:rPr>
          <w:b/>
          <w:szCs w:val="24"/>
        </w:rPr>
        <w:t>Vstup do EU:</w:t>
      </w:r>
      <w:r w:rsidRPr="00B13A06">
        <w:rPr>
          <w:szCs w:val="24"/>
        </w:rPr>
        <w:t xml:space="preserve"> 1.5.2004</w:t>
      </w:r>
    </w:p>
    <w:p w14:paraId="74BB537F" w14:textId="77777777" w:rsidR="00B13A06" w:rsidRPr="00B13A06" w:rsidRDefault="00B13A06" w:rsidP="00625F4B">
      <w:pPr>
        <w:spacing w:after="20"/>
        <w:rPr>
          <w:szCs w:val="24"/>
        </w:rPr>
      </w:pPr>
      <w:r w:rsidRPr="00B13A06">
        <w:rPr>
          <w:b/>
          <w:szCs w:val="24"/>
        </w:rPr>
        <w:t>Vstup do NATO:</w:t>
      </w:r>
      <w:r w:rsidRPr="00B13A06">
        <w:rPr>
          <w:szCs w:val="24"/>
        </w:rPr>
        <w:t xml:space="preserve"> 1.5.2004</w:t>
      </w:r>
    </w:p>
    <w:p w14:paraId="517F33AF" w14:textId="77777777" w:rsidR="00B13A06" w:rsidRDefault="00B13A06" w:rsidP="00625F4B">
      <w:pPr>
        <w:spacing w:after="20"/>
        <w:rPr>
          <w:szCs w:val="24"/>
        </w:rPr>
      </w:pPr>
      <w:r w:rsidRPr="00B13A06">
        <w:rPr>
          <w:b/>
          <w:szCs w:val="24"/>
        </w:rPr>
        <w:t>Schengenský prostor:</w:t>
      </w:r>
      <w:r w:rsidRPr="00B13A06">
        <w:rPr>
          <w:szCs w:val="24"/>
        </w:rPr>
        <w:t xml:space="preserve"> součástí od 2007</w:t>
      </w:r>
    </w:p>
    <w:p w14:paraId="17EEA6DB" w14:textId="77777777" w:rsidR="0099322C" w:rsidRPr="0099322C" w:rsidRDefault="0099322C" w:rsidP="00625F4B">
      <w:pPr>
        <w:spacing w:after="20"/>
        <w:rPr>
          <w:szCs w:val="24"/>
        </w:rPr>
      </w:pPr>
      <w:r w:rsidRPr="0099322C">
        <w:rPr>
          <w:b/>
          <w:szCs w:val="24"/>
        </w:rPr>
        <w:t>Hustota obyvatel:</w:t>
      </w:r>
      <w:r>
        <w:rPr>
          <w:szCs w:val="24"/>
        </w:rPr>
        <w:t xml:space="preserve"> </w:t>
      </w:r>
      <w:r w:rsidRPr="0099322C">
        <w:rPr>
          <w:szCs w:val="24"/>
        </w:rPr>
        <w:t>131 na km2</w:t>
      </w:r>
    </w:p>
    <w:p w14:paraId="3983D0B6" w14:textId="77777777" w:rsidR="00B13A06" w:rsidRDefault="00B13A06" w:rsidP="00625F4B">
      <w:pPr>
        <w:spacing w:after="20"/>
        <w:rPr>
          <w:color w:val="212121"/>
          <w:szCs w:val="24"/>
          <w:shd w:val="clear" w:color="auto" w:fill="FFFFFF"/>
        </w:rPr>
      </w:pPr>
    </w:p>
    <w:p w14:paraId="10EAB5F4" w14:textId="77777777" w:rsidR="003F6A8B" w:rsidRPr="003F6A8B" w:rsidRDefault="003F6A8B" w:rsidP="00625F4B">
      <w:pPr>
        <w:spacing w:after="20"/>
        <w:rPr>
          <w:szCs w:val="24"/>
        </w:rPr>
      </w:pPr>
      <w:r w:rsidRPr="003F6A8B">
        <w:rPr>
          <w:szCs w:val="24"/>
        </w:rPr>
        <w:t>Česká republika se v lednu 1993, po rozdělení Československa na dvě části, stala nezávislým státem. Před 2. světovou válkou bylo Československo jednou z deseti průmyslově nejvyspělejších zemí světa a jedinou středoevropskou zemí, která si udržela demokracii až do roku 1938.</w:t>
      </w:r>
    </w:p>
    <w:p w14:paraId="17531155" w14:textId="77777777" w:rsidR="003F6A8B" w:rsidRPr="003F6A8B" w:rsidRDefault="003F6A8B" w:rsidP="00625F4B">
      <w:pPr>
        <w:spacing w:after="20"/>
        <w:rPr>
          <w:szCs w:val="24"/>
        </w:rPr>
      </w:pPr>
      <w:r w:rsidRPr="003F6A8B">
        <w:rPr>
          <w:szCs w:val="24"/>
        </w:rPr>
        <w:t>Praha, hlavní město České republiky, je starší než 1 000 let a pyšní se bohatou historickou architekturou různých slohů. Z tohoto důvodu je toto město vyhledávanou lokalitou pro mnoho zahraničních filmových tvůrců.</w:t>
      </w:r>
    </w:p>
    <w:p w14:paraId="68CCAC7D" w14:textId="77777777" w:rsidR="003F6A8B" w:rsidRPr="003F6A8B" w:rsidRDefault="003F6A8B" w:rsidP="00625F4B">
      <w:pPr>
        <w:spacing w:after="20"/>
        <w:rPr>
          <w:szCs w:val="24"/>
        </w:rPr>
      </w:pPr>
      <w:r w:rsidRPr="003F6A8B">
        <w:rPr>
          <w:szCs w:val="24"/>
        </w:rPr>
        <w:t>Nejvýznamnějším hospodářským odvětvím je stále průmyslová výroba, zejména výroba automobilů, obráběcích nástrojů a strojírenských výrobků. Na Moravě má významný podíl železářství a ocelářství. K hlavním pěstovaným plodinám patří kukuřice, cukrová řepa, brambory, pšenice, ječmen a žito.</w:t>
      </w:r>
    </w:p>
    <w:p w14:paraId="0F02239C" w14:textId="77777777" w:rsidR="003F6A8B" w:rsidRPr="003F6A8B" w:rsidRDefault="003F6A8B" w:rsidP="00625F4B">
      <w:pPr>
        <w:spacing w:after="20"/>
        <w:rPr>
          <w:szCs w:val="24"/>
        </w:rPr>
      </w:pPr>
      <w:r w:rsidRPr="003F6A8B">
        <w:rPr>
          <w:szCs w:val="24"/>
        </w:rPr>
        <w:t>Zhruba 95 % území pokrývají kopce a pohoří, díky čemuž jsou zde ideální podmínky pro lyžování, jízdu na horských kolech a turistiku. V českých lesích žijí divočáci a lišky.</w:t>
      </w:r>
    </w:p>
    <w:p w14:paraId="601CD63C" w14:textId="77777777" w:rsidR="003F6A8B" w:rsidRPr="003F6A8B" w:rsidRDefault="003F6A8B" w:rsidP="00625F4B">
      <w:pPr>
        <w:spacing w:after="20"/>
        <w:rPr>
          <w:szCs w:val="24"/>
        </w:rPr>
      </w:pPr>
      <w:r w:rsidRPr="003F6A8B">
        <w:rPr>
          <w:szCs w:val="24"/>
        </w:rPr>
        <w:t>V České republice se vyrábí světoznámé pivo. V zahraničí je patrně nejpopulárnější pivo plzeňské (Pilsner). Na jižní Moravě a na některých místech v Čechách se pěstuje víno. Díky rekordním 900 přírodním minerálním pramenů, které se na území české republiky nacházejí, se zde vyrábí velké množství minerálních vod. Součástí tradičních jídel jsou často knedlíky, které se připravují z brambor nebo z mouky.</w:t>
      </w:r>
    </w:p>
    <w:p w14:paraId="4D53AF56" w14:textId="77777777" w:rsidR="00D53D39" w:rsidRPr="003F6A8B" w:rsidRDefault="003F6A8B" w:rsidP="00625F4B">
      <w:pPr>
        <w:spacing w:after="20"/>
        <w:rPr>
          <w:szCs w:val="24"/>
        </w:rPr>
      </w:pPr>
      <w:r w:rsidRPr="003F6A8B">
        <w:rPr>
          <w:szCs w:val="24"/>
        </w:rPr>
        <w:t>Z umělců se v zahraničí proslavili secesní malíř Alfons Mucha, skladatelé Antonín Dvořák a Bedřich Smetana, maratónec Emil Zátopek a spisovatelé Franz Kafka a Milan Kundera.</w:t>
      </w:r>
      <w:r w:rsidR="00F105C5">
        <w:rPr>
          <w:szCs w:val="24"/>
        </w:rPr>
        <w:t xml:space="preserve"> (Europa 2020, 2014)</w:t>
      </w:r>
    </w:p>
    <w:p w14:paraId="1E7A5388" w14:textId="77777777" w:rsidR="003F6A8B" w:rsidRDefault="003F6A8B" w:rsidP="00625F4B">
      <w:pPr>
        <w:spacing w:after="20"/>
        <w:ind w:firstLine="708"/>
        <w:rPr>
          <w:szCs w:val="24"/>
        </w:rPr>
      </w:pPr>
    </w:p>
    <w:p w14:paraId="55E3415A" w14:textId="77777777" w:rsidR="00B13A06" w:rsidRPr="00B13A06" w:rsidRDefault="003F6A8B" w:rsidP="00625F4B">
      <w:pPr>
        <w:pStyle w:val="Nadpis3"/>
      </w:pPr>
      <w:bookmarkStart w:id="12" w:name="_Toc278666230"/>
      <w:bookmarkStart w:id="13" w:name="_Toc278667507"/>
      <w:bookmarkStart w:id="14" w:name="_Toc281822692"/>
      <w:bookmarkStart w:id="15" w:name="_Toc281822791"/>
      <w:r w:rsidRPr="003F6A8B">
        <w:t>Polsko</w:t>
      </w:r>
      <w:bookmarkEnd w:id="12"/>
      <w:bookmarkEnd w:id="13"/>
      <w:bookmarkEnd w:id="14"/>
      <w:bookmarkEnd w:id="15"/>
    </w:p>
    <w:p w14:paraId="0A4EF556" w14:textId="77777777" w:rsidR="00B13A06" w:rsidRPr="00366712" w:rsidRDefault="00B13A06" w:rsidP="00625F4B">
      <w:pPr>
        <w:pStyle w:val="Nadpis4"/>
        <w:numPr>
          <w:ilvl w:val="0"/>
          <w:numId w:val="0"/>
        </w:numPr>
        <w:ind w:left="864" w:hanging="864"/>
        <w:rPr>
          <w:b/>
          <w:color w:val="212121"/>
          <w:szCs w:val="24"/>
          <w:u w:val="single"/>
          <w:shd w:val="clear" w:color="auto" w:fill="FFFFFF"/>
        </w:rPr>
      </w:pPr>
      <w:r w:rsidRPr="00366712">
        <w:rPr>
          <w:b/>
          <w:color w:val="212121"/>
          <w:szCs w:val="24"/>
          <w:u w:val="single"/>
          <w:shd w:val="clear" w:color="auto" w:fill="FFFFFF"/>
        </w:rPr>
        <w:t>Pols</w:t>
      </w:r>
      <w:r w:rsidR="00366712" w:rsidRPr="00366712">
        <w:rPr>
          <w:b/>
          <w:color w:val="212121"/>
          <w:szCs w:val="24"/>
          <w:u w:val="single"/>
          <w:shd w:val="clear" w:color="auto" w:fill="FFFFFF"/>
        </w:rPr>
        <w:t>ko</w:t>
      </w:r>
    </w:p>
    <w:p w14:paraId="12269D57" w14:textId="77777777" w:rsidR="00B13A06" w:rsidRPr="008F75DB" w:rsidRDefault="00B13A06" w:rsidP="00625F4B">
      <w:pPr>
        <w:tabs>
          <w:tab w:val="left" w:pos="4962"/>
        </w:tabs>
        <w:spacing w:after="20"/>
        <w:rPr>
          <w:color w:val="212121"/>
          <w:szCs w:val="24"/>
          <w:shd w:val="clear" w:color="auto" w:fill="FFFFFF"/>
        </w:rPr>
      </w:pPr>
      <w:r w:rsidRPr="008F75DB">
        <w:rPr>
          <w:b/>
          <w:color w:val="212121"/>
          <w:szCs w:val="24"/>
          <w:shd w:val="clear" w:color="auto" w:fill="FFFFFF"/>
        </w:rPr>
        <w:t>Rok vstupu:</w:t>
      </w:r>
      <w:r>
        <w:rPr>
          <w:color w:val="212121"/>
          <w:szCs w:val="24"/>
          <w:shd w:val="clear" w:color="auto" w:fill="FFFFFF"/>
        </w:rPr>
        <w:t xml:space="preserve"> 2004</w:t>
      </w:r>
    </w:p>
    <w:p w14:paraId="6E6ED5D0" w14:textId="77777777" w:rsidR="00B13A06" w:rsidRPr="008F75DB" w:rsidRDefault="00B13A06" w:rsidP="00625F4B">
      <w:pPr>
        <w:tabs>
          <w:tab w:val="left" w:pos="4962"/>
          <w:tab w:val="left" w:pos="5465"/>
        </w:tabs>
        <w:spacing w:after="20"/>
        <w:rPr>
          <w:color w:val="212121"/>
          <w:szCs w:val="24"/>
          <w:shd w:val="clear" w:color="auto" w:fill="FFFFFF"/>
        </w:rPr>
      </w:pPr>
      <w:r w:rsidRPr="008F75DB">
        <w:rPr>
          <w:b/>
          <w:color w:val="212121"/>
          <w:szCs w:val="24"/>
          <w:shd w:val="clear" w:color="auto" w:fill="FFFFFF"/>
        </w:rPr>
        <w:t>Hlavní město:</w:t>
      </w:r>
      <w:r>
        <w:rPr>
          <w:color w:val="212121"/>
          <w:szCs w:val="24"/>
          <w:shd w:val="clear" w:color="auto" w:fill="FFFFFF"/>
        </w:rPr>
        <w:t xml:space="preserve"> Varšava</w:t>
      </w:r>
    </w:p>
    <w:p w14:paraId="2D0D8A25" w14:textId="77777777" w:rsidR="00B13A06" w:rsidRPr="008F75DB" w:rsidRDefault="00B13A06" w:rsidP="00625F4B">
      <w:pPr>
        <w:tabs>
          <w:tab w:val="left" w:pos="4962"/>
        </w:tabs>
        <w:spacing w:after="20"/>
        <w:rPr>
          <w:color w:val="212121"/>
          <w:szCs w:val="24"/>
          <w:shd w:val="clear" w:color="auto" w:fill="FFFFFF"/>
        </w:rPr>
      </w:pPr>
      <w:r w:rsidRPr="008F75DB">
        <w:rPr>
          <w:b/>
          <w:color w:val="212121"/>
          <w:szCs w:val="24"/>
          <w:shd w:val="clear" w:color="auto" w:fill="FFFFFF"/>
        </w:rPr>
        <w:t>Rozloha:</w:t>
      </w:r>
      <w:r>
        <w:rPr>
          <w:color w:val="212121"/>
          <w:szCs w:val="24"/>
          <w:shd w:val="clear" w:color="auto" w:fill="FFFFFF"/>
        </w:rPr>
        <w:t xml:space="preserve"> 312 679 k</w:t>
      </w:r>
      <w:r w:rsidRPr="008F75DB">
        <w:rPr>
          <w:color w:val="212121"/>
          <w:szCs w:val="24"/>
          <w:shd w:val="clear" w:color="auto" w:fill="FFFFFF"/>
        </w:rPr>
        <w:t>m²</w:t>
      </w:r>
    </w:p>
    <w:p w14:paraId="7B797166" w14:textId="77777777" w:rsidR="00B13A06" w:rsidRPr="008F75DB" w:rsidRDefault="00B13A06" w:rsidP="00625F4B">
      <w:pPr>
        <w:tabs>
          <w:tab w:val="left" w:pos="4962"/>
          <w:tab w:val="left" w:pos="5465"/>
        </w:tabs>
        <w:spacing w:after="20"/>
        <w:rPr>
          <w:color w:val="212121"/>
          <w:szCs w:val="24"/>
          <w:shd w:val="clear" w:color="auto" w:fill="FFFFFF"/>
        </w:rPr>
      </w:pPr>
      <w:r w:rsidRPr="008F75DB">
        <w:rPr>
          <w:b/>
          <w:color w:val="212121"/>
          <w:szCs w:val="24"/>
          <w:shd w:val="clear" w:color="auto" w:fill="FFFFFF"/>
        </w:rPr>
        <w:t>Počet obyvatel:</w:t>
      </w:r>
      <w:r>
        <w:rPr>
          <w:color w:val="212121"/>
          <w:szCs w:val="24"/>
          <w:shd w:val="clear" w:color="auto" w:fill="FFFFFF"/>
        </w:rPr>
        <w:t xml:space="preserve"> 38,1 milionu</w:t>
      </w:r>
    </w:p>
    <w:p w14:paraId="7D004C96" w14:textId="77777777" w:rsidR="00B13A06" w:rsidRDefault="00B13A06" w:rsidP="00625F4B">
      <w:pPr>
        <w:tabs>
          <w:tab w:val="left" w:pos="4962"/>
        </w:tabs>
        <w:spacing w:after="20"/>
        <w:rPr>
          <w:color w:val="212121"/>
          <w:szCs w:val="24"/>
          <w:shd w:val="clear" w:color="auto" w:fill="FFFFFF"/>
        </w:rPr>
      </w:pPr>
      <w:r w:rsidRPr="008F75DB">
        <w:rPr>
          <w:b/>
          <w:color w:val="212121"/>
          <w:szCs w:val="24"/>
          <w:shd w:val="clear" w:color="auto" w:fill="FFFFFF"/>
        </w:rPr>
        <w:t>Měna:</w:t>
      </w:r>
      <w:r>
        <w:rPr>
          <w:color w:val="212121"/>
          <w:szCs w:val="24"/>
          <w:shd w:val="clear" w:color="auto" w:fill="FFFFFF"/>
        </w:rPr>
        <w:t xml:space="preserve"> zlotý </w:t>
      </w:r>
      <w:r w:rsidRPr="008F75DB">
        <w:rPr>
          <w:color w:val="212121"/>
          <w:szCs w:val="24"/>
          <w:shd w:val="clear" w:color="auto" w:fill="FFFFFF"/>
        </w:rPr>
        <w:t>(zł)</w:t>
      </w:r>
    </w:p>
    <w:p w14:paraId="0F87247C" w14:textId="77777777" w:rsidR="00B13A06" w:rsidRDefault="00B13A06" w:rsidP="00625F4B">
      <w:pPr>
        <w:tabs>
          <w:tab w:val="left" w:pos="4962"/>
        </w:tabs>
        <w:spacing w:after="20"/>
        <w:ind w:left="5460" w:hanging="5460"/>
        <w:jc w:val="left"/>
        <w:rPr>
          <w:color w:val="212121"/>
          <w:szCs w:val="24"/>
          <w:shd w:val="clear" w:color="auto" w:fill="FFFFFF"/>
        </w:rPr>
      </w:pPr>
      <w:r>
        <w:rPr>
          <w:b/>
          <w:color w:val="212121"/>
          <w:szCs w:val="24"/>
          <w:shd w:val="clear" w:color="auto" w:fill="FFFFFF"/>
        </w:rPr>
        <w:t>Úřední jazyk:</w:t>
      </w:r>
      <w:r>
        <w:rPr>
          <w:color w:val="212121"/>
          <w:szCs w:val="24"/>
          <w:shd w:val="clear" w:color="auto" w:fill="FFFFFF"/>
        </w:rPr>
        <w:t xml:space="preserve"> Polština</w:t>
      </w:r>
    </w:p>
    <w:p w14:paraId="4E8F649D" w14:textId="77777777" w:rsidR="00B13A06" w:rsidRDefault="00B13A06" w:rsidP="00625F4B">
      <w:pPr>
        <w:tabs>
          <w:tab w:val="left" w:pos="4962"/>
        </w:tabs>
        <w:spacing w:after="20"/>
        <w:ind w:left="5460" w:hanging="5460"/>
        <w:jc w:val="left"/>
        <w:rPr>
          <w:color w:val="212121"/>
          <w:szCs w:val="24"/>
          <w:shd w:val="clear" w:color="auto" w:fill="FFFFFF"/>
        </w:rPr>
      </w:pPr>
      <w:r>
        <w:rPr>
          <w:b/>
          <w:color w:val="212121"/>
          <w:szCs w:val="24"/>
          <w:shd w:val="clear" w:color="auto" w:fill="FFFFFF"/>
        </w:rPr>
        <w:t xml:space="preserve">Vstup do EU: </w:t>
      </w:r>
      <w:r w:rsidRPr="00B13A06">
        <w:rPr>
          <w:color w:val="212121"/>
          <w:szCs w:val="24"/>
          <w:shd w:val="clear" w:color="auto" w:fill="FFFFFF"/>
        </w:rPr>
        <w:t>1.5.2004</w:t>
      </w:r>
    </w:p>
    <w:p w14:paraId="6E13C462" w14:textId="77777777" w:rsidR="00B13A06" w:rsidRPr="00B13A06" w:rsidRDefault="00B13A06" w:rsidP="00625F4B">
      <w:pPr>
        <w:tabs>
          <w:tab w:val="left" w:pos="4962"/>
        </w:tabs>
        <w:spacing w:after="20"/>
        <w:ind w:left="5460" w:hanging="5460"/>
        <w:jc w:val="left"/>
        <w:rPr>
          <w:b/>
          <w:color w:val="212121"/>
          <w:szCs w:val="24"/>
          <w:shd w:val="clear" w:color="auto" w:fill="FFFFFF"/>
        </w:rPr>
      </w:pPr>
      <w:r>
        <w:rPr>
          <w:b/>
          <w:color w:val="212121"/>
          <w:szCs w:val="24"/>
          <w:shd w:val="clear" w:color="auto" w:fill="FFFFFF"/>
        </w:rPr>
        <w:t xml:space="preserve">Vstup do NATO: </w:t>
      </w:r>
      <w:r>
        <w:rPr>
          <w:color w:val="212121"/>
          <w:szCs w:val="24"/>
          <w:shd w:val="clear" w:color="auto" w:fill="FFFFFF"/>
        </w:rPr>
        <w:t>1999</w:t>
      </w:r>
    </w:p>
    <w:p w14:paraId="0761CC48" w14:textId="77777777" w:rsidR="00B13A06" w:rsidRDefault="00B13A06" w:rsidP="00625F4B">
      <w:pPr>
        <w:tabs>
          <w:tab w:val="left" w:pos="4962"/>
        </w:tabs>
        <w:spacing w:after="20"/>
        <w:ind w:left="5460" w:hanging="5460"/>
        <w:jc w:val="left"/>
        <w:rPr>
          <w:color w:val="212121"/>
          <w:szCs w:val="24"/>
          <w:shd w:val="clear" w:color="auto" w:fill="FFFFFF"/>
        </w:rPr>
      </w:pPr>
      <w:r>
        <w:rPr>
          <w:color w:val="212121"/>
          <w:szCs w:val="24"/>
          <w:shd w:val="clear" w:color="auto" w:fill="FFFFFF"/>
        </w:rPr>
        <w:t>S</w:t>
      </w:r>
      <w:r w:rsidRPr="008F75DB">
        <w:rPr>
          <w:b/>
          <w:color w:val="212121"/>
          <w:szCs w:val="24"/>
          <w:shd w:val="clear" w:color="auto" w:fill="FFFFFF"/>
        </w:rPr>
        <w:t>chengens</w:t>
      </w:r>
      <w:r>
        <w:rPr>
          <w:b/>
          <w:color w:val="212121"/>
          <w:szCs w:val="24"/>
          <w:shd w:val="clear" w:color="auto" w:fill="FFFFFF"/>
        </w:rPr>
        <w:t xml:space="preserve">ký </w:t>
      </w:r>
      <w:r w:rsidRPr="008F75DB">
        <w:rPr>
          <w:b/>
          <w:color w:val="212121"/>
          <w:szCs w:val="24"/>
          <w:shd w:val="clear" w:color="auto" w:fill="FFFFFF"/>
        </w:rPr>
        <w:t>prostor:</w:t>
      </w:r>
      <w:r>
        <w:rPr>
          <w:color w:val="212121"/>
          <w:szCs w:val="24"/>
          <w:shd w:val="clear" w:color="auto" w:fill="FFFFFF"/>
        </w:rPr>
        <w:t xml:space="preserve"> </w:t>
      </w:r>
      <w:r w:rsidRPr="008F75DB">
        <w:rPr>
          <w:color w:val="212121"/>
          <w:szCs w:val="24"/>
          <w:shd w:val="clear" w:color="auto" w:fill="FFFFFF"/>
        </w:rPr>
        <w:t>součástí od 2007</w:t>
      </w:r>
    </w:p>
    <w:p w14:paraId="4DE69031" w14:textId="77777777" w:rsidR="0099322C" w:rsidRPr="0099322C" w:rsidRDefault="0099322C" w:rsidP="00625F4B">
      <w:pPr>
        <w:tabs>
          <w:tab w:val="left" w:pos="4962"/>
        </w:tabs>
        <w:spacing w:after="20"/>
        <w:ind w:left="5460" w:hanging="5460"/>
        <w:jc w:val="left"/>
        <w:rPr>
          <w:szCs w:val="24"/>
        </w:rPr>
      </w:pPr>
      <w:r w:rsidRPr="0099322C">
        <w:rPr>
          <w:b/>
          <w:szCs w:val="24"/>
        </w:rPr>
        <w:t>Hustota obyvatel:</w:t>
      </w:r>
      <w:r w:rsidRPr="0099322C">
        <w:rPr>
          <w:szCs w:val="24"/>
        </w:rPr>
        <w:t xml:space="preserve"> 122 na km2</w:t>
      </w:r>
    </w:p>
    <w:p w14:paraId="21367DD2" w14:textId="77777777" w:rsidR="00B13A06" w:rsidRPr="00B13A06" w:rsidRDefault="00B13A06" w:rsidP="00625F4B">
      <w:pPr>
        <w:tabs>
          <w:tab w:val="left" w:pos="4962"/>
        </w:tabs>
        <w:spacing w:after="20"/>
        <w:ind w:left="5460" w:hanging="5460"/>
        <w:jc w:val="left"/>
        <w:rPr>
          <w:color w:val="212121"/>
          <w:szCs w:val="24"/>
          <w:shd w:val="clear" w:color="auto" w:fill="FFFFFF"/>
        </w:rPr>
      </w:pPr>
    </w:p>
    <w:p w14:paraId="4285A8D9" w14:textId="77777777" w:rsidR="00CD7BF9" w:rsidRPr="00CD7BF9" w:rsidRDefault="00CD7BF9" w:rsidP="00625F4B">
      <w:pPr>
        <w:spacing w:after="20"/>
        <w:rPr>
          <w:szCs w:val="24"/>
        </w:rPr>
      </w:pPr>
      <w:r w:rsidRPr="00CD7BF9">
        <w:rPr>
          <w:szCs w:val="24"/>
        </w:rPr>
        <w:t>Severní část Polska, která sahá k Baltskému moři, je tvořena téměř výhradně nížinami, zatímco jižní hranici tvoří Karpaty (včetně Tater). Největší a nejnavštěvovanější oblastí Polska je Mazursko, kraj s mnoha jezery.</w:t>
      </w:r>
    </w:p>
    <w:p w14:paraId="1CAB5238" w14:textId="77777777" w:rsidR="00CD7BF9" w:rsidRPr="00CD7BF9" w:rsidRDefault="00CD7BF9" w:rsidP="00625F4B">
      <w:pPr>
        <w:spacing w:after="20"/>
        <w:rPr>
          <w:szCs w:val="24"/>
        </w:rPr>
      </w:pPr>
      <w:r w:rsidRPr="00CD7BF9">
        <w:rPr>
          <w:szCs w:val="24"/>
        </w:rPr>
        <w:t>Polský stát má více než tisíciletou historii. V 16. století bylo Polsko jednou z nejmocnějších zemí v Evropě. Polský král Jan III. Sobieski v roce 1683 prolomil otomanské obležení Vídně, čímž ukončil hrozbu možné okupace západní Evropy.</w:t>
      </w:r>
    </w:p>
    <w:p w14:paraId="737DE976" w14:textId="77777777" w:rsidR="00CD7BF9" w:rsidRPr="00CD7BF9" w:rsidRDefault="00CD7BF9" w:rsidP="00625F4B">
      <w:pPr>
        <w:spacing w:after="20"/>
        <w:rPr>
          <w:szCs w:val="24"/>
        </w:rPr>
      </w:pPr>
      <w:r w:rsidRPr="00CD7BF9">
        <w:rPr>
          <w:szCs w:val="24"/>
        </w:rPr>
        <w:t>Polsko má bohaté zásoby nerostných surovin, například železa, zinku, mědi, ale i kamenné soli. Solný důl Wieliczka vybudovaný v 13. století dokonce skrývá celé podzemní městečko, včetně sanatoria, divadla, kaple a kavárny. Vše, počínaje schody a konče lustry, je vyrobeno ze soli.</w:t>
      </w:r>
    </w:p>
    <w:p w14:paraId="407239C5" w14:textId="77777777" w:rsidR="00CD7BF9" w:rsidRPr="00CD7BF9" w:rsidRDefault="00CD7BF9" w:rsidP="00625F4B">
      <w:pPr>
        <w:spacing w:after="20"/>
        <w:rPr>
          <w:szCs w:val="24"/>
        </w:rPr>
      </w:pPr>
      <w:r w:rsidRPr="00CD7BF9">
        <w:rPr>
          <w:szCs w:val="24"/>
        </w:rPr>
        <w:t>Současná polská ústava pochází z roku 1997. Prezident je volen ve všeobecných volbách na pětileté období. 460 členů dolní komory parlamentu (Sejmu) a 100 členů senátu je voleno přímo v systému poměrného zastoupení na období čtyř let.</w:t>
      </w:r>
    </w:p>
    <w:p w14:paraId="791F159A" w14:textId="77777777" w:rsidR="00CD7BF9" w:rsidRPr="00CD7BF9" w:rsidRDefault="00CD7BF9" w:rsidP="00625F4B">
      <w:pPr>
        <w:spacing w:after="20"/>
        <w:rPr>
          <w:szCs w:val="24"/>
        </w:rPr>
      </w:pPr>
      <w:r w:rsidRPr="00CD7BF9">
        <w:rPr>
          <w:szCs w:val="24"/>
        </w:rPr>
        <w:t>K polským tradičním pokrmům patří polévka z řepy, zelné listy plněné masem a rýží a pierogi (knedlíčky plněné například zelím a houbami).</w:t>
      </w:r>
    </w:p>
    <w:p w14:paraId="388CA962" w14:textId="77777777" w:rsidR="003F6A8B" w:rsidRDefault="00CD7BF9" w:rsidP="00625F4B">
      <w:pPr>
        <w:spacing w:after="20"/>
        <w:rPr>
          <w:szCs w:val="24"/>
        </w:rPr>
      </w:pPr>
      <w:r w:rsidRPr="00CD7BF9">
        <w:rPr>
          <w:szCs w:val="24"/>
        </w:rPr>
        <w:t>Mezi slavné Poláky patří například astronom Koperník, skladatel Chopin, vědkyně Maria Curie-Skłodowska, filmoví tvůrci Roman Polanski a Krzysztof Kieslowski a nedávno zesnulý papež Jan Pavel II.</w:t>
      </w:r>
      <w:r w:rsidR="00F105C5">
        <w:rPr>
          <w:szCs w:val="24"/>
        </w:rPr>
        <w:t xml:space="preserve"> (Europa 2020, 2014)</w:t>
      </w:r>
    </w:p>
    <w:p w14:paraId="074AF8EF" w14:textId="77777777" w:rsidR="0010183F" w:rsidRPr="00CD7BF9" w:rsidRDefault="0010183F" w:rsidP="00625F4B">
      <w:pPr>
        <w:spacing w:after="20"/>
        <w:rPr>
          <w:szCs w:val="24"/>
        </w:rPr>
      </w:pPr>
      <w:r>
        <w:rPr>
          <w:szCs w:val="24"/>
        </w:rPr>
        <w:t>Dle informací MZV (2014) je s</w:t>
      </w:r>
      <w:r w:rsidRPr="0010183F">
        <w:rPr>
          <w:szCs w:val="24"/>
        </w:rPr>
        <w:t xml:space="preserve">ituace polského hospodářství ve srovnání s ostatními zeměmi EU </w:t>
      </w:r>
      <w:r>
        <w:rPr>
          <w:szCs w:val="24"/>
        </w:rPr>
        <w:t>poměrně příznivá</w:t>
      </w:r>
      <w:r w:rsidRPr="0010183F">
        <w:rPr>
          <w:szCs w:val="24"/>
        </w:rPr>
        <w:t>. Nicméně i v roce 2013 se dynamika růstu HDP oproti roku 2012 snížila na 1,6 % (1,9 % v roce 2012; 4,5 % v roce 2011). Na druhou stranu v druhé polovině roku 2013 byl zaznamenán opětovný růst dynamiky růstu HDP a tento trend by se měl udržet i po celý rok 2014. Podle MMF dosáhne růst polského hospodářství v roce 2014 hodnoty až 3,3 %, podle Polské národní banky až 3,6 %.</w:t>
      </w:r>
    </w:p>
    <w:p w14:paraId="623CA49E" w14:textId="77777777" w:rsidR="003F6A8B" w:rsidRDefault="003F6A8B" w:rsidP="00625F4B">
      <w:pPr>
        <w:widowControl w:val="0"/>
        <w:autoSpaceDE w:val="0"/>
        <w:autoSpaceDN w:val="0"/>
        <w:adjustRightInd w:val="0"/>
        <w:spacing w:after="20"/>
        <w:jc w:val="left"/>
        <w:rPr>
          <w:b/>
          <w:color w:val="212121"/>
          <w:szCs w:val="24"/>
          <w:u w:val="single"/>
          <w:shd w:val="clear" w:color="auto" w:fill="FFFFFF"/>
        </w:rPr>
      </w:pPr>
    </w:p>
    <w:p w14:paraId="4B84194A" w14:textId="58DC74C3" w:rsidR="00CD7BF9" w:rsidRDefault="00A53EEF" w:rsidP="00625F4B">
      <w:pPr>
        <w:pStyle w:val="Nadpis3"/>
      </w:pPr>
      <w:bookmarkStart w:id="16" w:name="_Toc281822792"/>
      <w:r>
        <w:t>Srovnání České Republiky a</w:t>
      </w:r>
      <w:r w:rsidR="00CD7BF9">
        <w:t xml:space="preserve"> Polsko</w:t>
      </w:r>
      <w:bookmarkEnd w:id="16"/>
    </w:p>
    <w:p w14:paraId="25CB0832" w14:textId="77777777" w:rsidR="00BA2BBB" w:rsidRDefault="00CD7BF9" w:rsidP="00625F4B">
      <w:pPr>
        <w:widowControl w:val="0"/>
        <w:autoSpaceDE w:val="0"/>
        <w:autoSpaceDN w:val="0"/>
        <w:adjustRightInd w:val="0"/>
        <w:spacing w:after="20"/>
        <w:rPr>
          <w:color w:val="212121"/>
          <w:szCs w:val="24"/>
          <w:shd w:val="clear" w:color="auto" w:fill="FFFFFF"/>
        </w:rPr>
      </w:pPr>
      <w:r>
        <w:rPr>
          <w:color w:val="212121"/>
          <w:szCs w:val="24"/>
          <w:shd w:val="clear" w:color="auto" w:fill="FFFFFF"/>
        </w:rPr>
        <w:t xml:space="preserve">Oba státy vstoupily do EU v roce 2004. </w:t>
      </w:r>
      <w:r w:rsidR="00D23CCB">
        <w:rPr>
          <w:color w:val="212121"/>
          <w:szCs w:val="24"/>
          <w:shd w:val="clear" w:color="auto" w:fill="FFFFFF"/>
        </w:rPr>
        <w:t xml:space="preserve">Česká republika s Polskem sousedí. </w:t>
      </w:r>
      <w:r>
        <w:rPr>
          <w:color w:val="212121"/>
          <w:szCs w:val="24"/>
          <w:shd w:val="clear" w:color="auto" w:fill="FFFFFF"/>
        </w:rPr>
        <w:t xml:space="preserve">Rozloha Polska je skoro 4x větší než České republiky. Počet obyvatel je v Polsku zhruba 3,5x větší než České republiky. Obě země se orientují na těžbu nerostných surovin a vynikají v průmyslové výrobě. </w:t>
      </w:r>
      <w:r w:rsidR="003A0FF4">
        <w:rPr>
          <w:color w:val="212121"/>
          <w:szCs w:val="24"/>
          <w:shd w:val="clear" w:color="auto" w:fill="FFFFFF"/>
        </w:rPr>
        <w:t>Obě země jsou součástí EU a spadají do růstové strategie Evropa 20</w:t>
      </w:r>
      <w:r w:rsidR="001168AF">
        <w:rPr>
          <w:color w:val="212121"/>
          <w:szCs w:val="24"/>
          <w:shd w:val="clear" w:color="auto" w:fill="FFFFFF"/>
        </w:rPr>
        <w:t>2</w:t>
      </w:r>
      <w:r w:rsidR="002D42D6">
        <w:rPr>
          <w:color w:val="212121"/>
          <w:szCs w:val="24"/>
          <w:shd w:val="clear" w:color="auto" w:fill="FFFFFF"/>
        </w:rPr>
        <w:t>0.</w:t>
      </w:r>
      <w:r w:rsidR="00D23CCB">
        <w:rPr>
          <w:color w:val="212121"/>
          <w:szCs w:val="24"/>
          <w:shd w:val="clear" w:color="auto" w:fill="FFFFFF"/>
        </w:rPr>
        <w:t xml:space="preserve"> </w:t>
      </w:r>
      <w:r w:rsidR="00874485">
        <w:rPr>
          <w:color w:val="212121"/>
          <w:szCs w:val="24"/>
          <w:shd w:val="clear" w:color="auto" w:fill="FFFFFF"/>
        </w:rPr>
        <w:t xml:space="preserve">Polsko vstoupilo do NATO o 5 let dříve než Česká republika. Na základě Shengenské dohody mohou Češi i Poláci překračovat hranice, aniž by museli podstupovat jakékoliv celní prohlídky. Úředním jazykem je </w:t>
      </w:r>
      <w:r w:rsidR="003D538A">
        <w:rPr>
          <w:color w:val="212121"/>
          <w:szCs w:val="24"/>
          <w:shd w:val="clear" w:color="auto" w:fill="FFFFFF"/>
        </w:rPr>
        <w:t>v České republice čeština, která může s polštinou znít podobně, avšak</w:t>
      </w:r>
      <w:r w:rsidR="00874485">
        <w:rPr>
          <w:color w:val="212121"/>
          <w:szCs w:val="24"/>
          <w:shd w:val="clear" w:color="auto" w:fill="FFFFFF"/>
        </w:rPr>
        <w:t xml:space="preserve"> některé slova stejného zn</w:t>
      </w:r>
      <w:r w:rsidR="003D538A">
        <w:rPr>
          <w:color w:val="212121"/>
          <w:szCs w:val="24"/>
          <w:shd w:val="clear" w:color="auto" w:fill="FFFFFF"/>
        </w:rPr>
        <w:t>ění, mají naprosto jiný význam, což může vést k trapným situacím.</w:t>
      </w:r>
    </w:p>
    <w:p w14:paraId="7E904684" w14:textId="77777777" w:rsidR="00874485" w:rsidRDefault="00874485" w:rsidP="00625F4B">
      <w:pPr>
        <w:widowControl w:val="0"/>
        <w:autoSpaceDE w:val="0"/>
        <w:autoSpaceDN w:val="0"/>
        <w:adjustRightInd w:val="0"/>
        <w:spacing w:after="20"/>
        <w:rPr>
          <w:color w:val="212121"/>
          <w:szCs w:val="24"/>
          <w:shd w:val="clear" w:color="auto" w:fill="FFFFFF"/>
        </w:rPr>
      </w:pPr>
    </w:p>
    <w:p w14:paraId="7FEE370D" w14:textId="77777777" w:rsidR="002D42D6" w:rsidRPr="00366712" w:rsidRDefault="002D42D6" w:rsidP="00625F4B">
      <w:pPr>
        <w:pStyle w:val="Nadpis2"/>
        <w:spacing w:after="20"/>
      </w:pPr>
      <w:bookmarkStart w:id="17" w:name="_Toc281822793"/>
      <w:r w:rsidRPr="00366712">
        <w:t>Evropa 2020</w:t>
      </w:r>
      <w:bookmarkEnd w:id="17"/>
    </w:p>
    <w:p w14:paraId="70C2ECB9" w14:textId="77777777" w:rsidR="002D42D6" w:rsidRPr="002D42D6" w:rsidRDefault="002D42D6" w:rsidP="00D12EBE">
      <w:pPr>
        <w:widowControl w:val="0"/>
        <w:autoSpaceDE w:val="0"/>
        <w:autoSpaceDN w:val="0"/>
        <w:adjustRightInd w:val="0"/>
        <w:spacing w:after="20"/>
        <w:rPr>
          <w:color w:val="212121"/>
          <w:szCs w:val="24"/>
          <w:shd w:val="clear" w:color="auto" w:fill="FFFFFF"/>
        </w:rPr>
      </w:pPr>
      <w:r w:rsidRPr="002D42D6">
        <w:rPr>
          <w:b/>
          <w:color w:val="212121"/>
          <w:szCs w:val="24"/>
          <w:shd w:val="clear" w:color="auto" w:fill="FFFFFF"/>
        </w:rPr>
        <w:t xml:space="preserve">Rok vzniku: </w:t>
      </w:r>
      <w:r w:rsidRPr="002D42D6">
        <w:rPr>
          <w:color w:val="212121"/>
          <w:szCs w:val="24"/>
          <w:shd w:val="clear" w:color="auto" w:fill="FFFFFF"/>
        </w:rPr>
        <w:t>2010</w:t>
      </w:r>
    </w:p>
    <w:p w14:paraId="010070EB" w14:textId="77777777" w:rsidR="002D42D6" w:rsidRPr="002D42D6" w:rsidRDefault="002D42D6" w:rsidP="00D12EBE">
      <w:pPr>
        <w:tabs>
          <w:tab w:val="left" w:pos="5465"/>
        </w:tabs>
        <w:spacing w:after="20"/>
        <w:rPr>
          <w:b/>
          <w:color w:val="212121"/>
          <w:szCs w:val="24"/>
          <w:shd w:val="clear" w:color="auto" w:fill="FFFFFF"/>
        </w:rPr>
      </w:pPr>
      <w:r w:rsidRPr="002D42D6">
        <w:rPr>
          <w:b/>
          <w:color w:val="212121"/>
          <w:szCs w:val="24"/>
          <w:shd w:val="clear" w:color="auto" w:fill="FFFFFF"/>
        </w:rPr>
        <w:t>Hlavní 3 vzájemně se posilující priority:</w:t>
      </w:r>
    </w:p>
    <w:p w14:paraId="08F896A8" w14:textId="77777777" w:rsidR="002D42D6" w:rsidRPr="002D42D6" w:rsidRDefault="00F444E6" w:rsidP="00D12EBE">
      <w:pPr>
        <w:widowControl w:val="0"/>
        <w:autoSpaceDE w:val="0"/>
        <w:autoSpaceDN w:val="0"/>
        <w:adjustRightInd w:val="0"/>
        <w:spacing w:after="20"/>
        <w:rPr>
          <w:color w:val="212121"/>
          <w:szCs w:val="24"/>
          <w:shd w:val="clear" w:color="auto" w:fill="FFFFFF"/>
        </w:rPr>
      </w:pPr>
      <w:r>
        <w:rPr>
          <w:color w:val="212121"/>
          <w:szCs w:val="24"/>
          <w:shd w:val="clear" w:color="auto" w:fill="FFFFFF"/>
        </w:rPr>
        <w:t>–  Inteligentní rů</w:t>
      </w:r>
      <w:r w:rsidR="00BD58EF" w:rsidRPr="002D42D6">
        <w:rPr>
          <w:color w:val="212121"/>
          <w:szCs w:val="24"/>
          <w:shd w:val="clear" w:color="auto" w:fill="FFFFFF"/>
        </w:rPr>
        <w:t xml:space="preserve">st: </w:t>
      </w:r>
      <w:r w:rsidR="00BD58EF">
        <w:rPr>
          <w:color w:val="212121"/>
          <w:szCs w:val="24"/>
          <w:shd w:val="clear" w:color="auto" w:fill="FFFFFF"/>
        </w:rPr>
        <w:t>rozví</w:t>
      </w:r>
      <w:r w:rsidR="00BD58EF" w:rsidRPr="002D42D6">
        <w:rPr>
          <w:color w:val="212121"/>
          <w:szCs w:val="24"/>
          <w:shd w:val="clear" w:color="auto" w:fill="FFFFFF"/>
        </w:rPr>
        <w:t>jet ekonomiku založ</w:t>
      </w:r>
      <w:r w:rsidR="00BD58EF">
        <w:rPr>
          <w:color w:val="212121"/>
          <w:szCs w:val="24"/>
          <w:shd w:val="clear" w:color="auto" w:fill="FFFFFF"/>
        </w:rPr>
        <w:t>enou na znalostech a inovací</w:t>
      </w:r>
      <w:r w:rsidR="00BD58EF" w:rsidRPr="002D42D6">
        <w:rPr>
          <w:color w:val="212121"/>
          <w:szCs w:val="24"/>
          <w:shd w:val="clear" w:color="auto" w:fill="FFFFFF"/>
        </w:rPr>
        <w:t xml:space="preserve">ch. </w:t>
      </w:r>
    </w:p>
    <w:p w14:paraId="43B84FBF" w14:textId="77777777" w:rsidR="002D42D6" w:rsidRPr="002D42D6" w:rsidRDefault="00BD58EF" w:rsidP="00D12EBE">
      <w:pPr>
        <w:widowControl w:val="0"/>
        <w:autoSpaceDE w:val="0"/>
        <w:autoSpaceDN w:val="0"/>
        <w:adjustRightInd w:val="0"/>
        <w:spacing w:after="20"/>
        <w:rPr>
          <w:color w:val="212121"/>
          <w:szCs w:val="24"/>
          <w:shd w:val="clear" w:color="auto" w:fill="FFFFFF"/>
        </w:rPr>
      </w:pPr>
      <w:r>
        <w:rPr>
          <w:color w:val="212121"/>
          <w:szCs w:val="24"/>
          <w:shd w:val="clear" w:color="auto" w:fill="FFFFFF"/>
        </w:rPr>
        <w:t>–  Udržitelný rů</w:t>
      </w:r>
      <w:r w:rsidR="002D42D6" w:rsidRPr="002D42D6">
        <w:rPr>
          <w:color w:val="212121"/>
          <w:szCs w:val="24"/>
          <w:shd w:val="clear" w:color="auto" w:fill="FFFFFF"/>
        </w:rPr>
        <w:t>s</w:t>
      </w:r>
      <w:r>
        <w:rPr>
          <w:color w:val="212121"/>
          <w:szCs w:val="24"/>
          <w:shd w:val="clear" w:color="auto" w:fill="FFFFFF"/>
        </w:rPr>
        <w:t>t: podporovat konkurenceschopnější a ekologičtější ekonomiku méně</w:t>
      </w:r>
      <w:r w:rsidR="002D42D6" w:rsidRPr="002D42D6">
        <w:rPr>
          <w:color w:val="212121"/>
          <w:szCs w:val="24"/>
          <w:shd w:val="clear" w:color="auto" w:fill="FFFFFF"/>
        </w:rPr>
        <w:t xml:space="preserve"> </w:t>
      </w:r>
      <w:r>
        <w:rPr>
          <w:color w:val="212121"/>
          <w:szCs w:val="24"/>
          <w:shd w:val="clear" w:color="auto" w:fill="FFFFFF"/>
        </w:rPr>
        <w:t>nároč</w:t>
      </w:r>
      <w:r w:rsidR="002D42D6" w:rsidRPr="002D42D6">
        <w:rPr>
          <w:color w:val="212121"/>
          <w:szCs w:val="24"/>
          <w:shd w:val="clear" w:color="auto" w:fill="FFFFFF"/>
        </w:rPr>
        <w:t xml:space="preserve">nou na zdroje. </w:t>
      </w:r>
    </w:p>
    <w:p w14:paraId="10D837E1" w14:textId="77777777" w:rsidR="002D42D6" w:rsidRPr="002D42D6" w:rsidRDefault="00BD58EF" w:rsidP="00D12EBE">
      <w:pPr>
        <w:widowControl w:val="0"/>
        <w:autoSpaceDE w:val="0"/>
        <w:autoSpaceDN w:val="0"/>
        <w:adjustRightInd w:val="0"/>
        <w:spacing w:after="20"/>
        <w:rPr>
          <w:color w:val="212121"/>
          <w:szCs w:val="24"/>
          <w:shd w:val="clear" w:color="auto" w:fill="FFFFFF"/>
        </w:rPr>
      </w:pPr>
      <w:r>
        <w:rPr>
          <w:color w:val="212121"/>
          <w:szCs w:val="24"/>
          <w:shd w:val="clear" w:color="auto" w:fill="FFFFFF"/>
        </w:rPr>
        <w:t>–  Růst podporující začleně</w:t>
      </w:r>
      <w:r w:rsidR="002D42D6" w:rsidRPr="002D42D6">
        <w:rPr>
          <w:color w:val="212121"/>
          <w:szCs w:val="24"/>
          <w:shd w:val="clear" w:color="auto" w:fill="FFFFFF"/>
        </w:rPr>
        <w:t>n</w:t>
      </w:r>
      <w:r>
        <w:rPr>
          <w:color w:val="212121"/>
          <w:szCs w:val="24"/>
          <w:shd w:val="clear" w:color="auto" w:fill="FFFFFF"/>
        </w:rPr>
        <w:t>í</w:t>
      </w:r>
      <w:r w:rsidR="002D42D6" w:rsidRPr="002D42D6">
        <w:rPr>
          <w:color w:val="212121"/>
          <w:szCs w:val="24"/>
          <w:shd w:val="clear" w:color="auto" w:fill="FFFFFF"/>
        </w:rPr>
        <w:t>: podp</w:t>
      </w:r>
      <w:r>
        <w:rPr>
          <w:color w:val="212121"/>
          <w:szCs w:val="24"/>
          <w:shd w:val="clear" w:color="auto" w:fill="FFFFFF"/>
        </w:rPr>
        <w:t>orovat ekonomiku s vysokou zaměstnaností, jež se bude vyznačovat sociální a územní soudržností</w:t>
      </w:r>
      <w:r w:rsidR="002D42D6" w:rsidRPr="002D42D6">
        <w:rPr>
          <w:color w:val="212121"/>
          <w:szCs w:val="24"/>
          <w:shd w:val="clear" w:color="auto" w:fill="FFFFFF"/>
        </w:rPr>
        <w:t xml:space="preserve">. </w:t>
      </w:r>
    </w:p>
    <w:p w14:paraId="51E47AAB" w14:textId="77777777" w:rsidR="002D42D6" w:rsidRPr="002D42D6" w:rsidRDefault="002D42D6" w:rsidP="00D12EBE">
      <w:pPr>
        <w:tabs>
          <w:tab w:val="left" w:pos="5465"/>
        </w:tabs>
        <w:spacing w:after="20"/>
        <w:rPr>
          <w:b/>
          <w:color w:val="212121"/>
          <w:szCs w:val="24"/>
          <w:shd w:val="clear" w:color="auto" w:fill="FFFFFF"/>
        </w:rPr>
      </w:pPr>
      <w:r w:rsidRPr="002D42D6">
        <w:rPr>
          <w:b/>
          <w:color w:val="212121"/>
          <w:szCs w:val="24"/>
          <w:shd w:val="clear" w:color="auto" w:fill="FFFFFF"/>
        </w:rPr>
        <w:t>Návrh hlavních cílů:</w:t>
      </w:r>
    </w:p>
    <w:p w14:paraId="4542DA59" w14:textId="77777777" w:rsidR="002D42D6" w:rsidRPr="002D42D6" w:rsidRDefault="00BD58EF" w:rsidP="00D12EBE">
      <w:pPr>
        <w:widowControl w:val="0"/>
        <w:autoSpaceDE w:val="0"/>
        <w:autoSpaceDN w:val="0"/>
        <w:adjustRightInd w:val="0"/>
        <w:spacing w:after="20"/>
        <w:rPr>
          <w:color w:val="212121"/>
          <w:szCs w:val="24"/>
          <w:shd w:val="clear" w:color="auto" w:fill="FFFFFF"/>
        </w:rPr>
      </w:pPr>
      <w:r>
        <w:rPr>
          <w:color w:val="212121"/>
          <w:szCs w:val="24"/>
          <w:shd w:val="clear" w:color="auto" w:fill="FFFFFF"/>
        </w:rPr>
        <w:t>–  75 % obyvatelstva ve věku od 20 do 64 let by mělo být zaměstná</w:t>
      </w:r>
      <w:r w:rsidR="002D42D6" w:rsidRPr="002D42D6">
        <w:rPr>
          <w:color w:val="212121"/>
          <w:szCs w:val="24"/>
          <w:shd w:val="clear" w:color="auto" w:fill="FFFFFF"/>
        </w:rPr>
        <w:t xml:space="preserve">no, </w:t>
      </w:r>
    </w:p>
    <w:p w14:paraId="30BF5536" w14:textId="77777777" w:rsidR="002D42D6" w:rsidRPr="002D42D6" w:rsidRDefault="00BD58EF" w:rsidP="00D12EBE">
      <w:pPr>
        <w:widowControl w:val="0"/>
        <w:autoSpaceDE w:val="0"/>
        <w:autoSpaceDN w:val="0"/>
        <w:adjustRightInd w:val="0"/>
        <w:spacing w:after="20"/>
        <w:rPr>
          <w:color w:val="212121"/>
          <w:szCs w:val="24"/>
          <w:shd w:val="clear" w:color="auto" w:fill="FFFFFF"/>
        </w:rPr>
      </w:pPr>
      <w:r>
        <w:rPr>
          <w:color w:val="212121"/>
          <w:szCs w:val="24"/>
          <w:shd w:val="clear" w:color="auto" w:fill="FFFFFF"/>
        </w:rPr>
        <w:t>–  3 % HDP Evropské unie by měla být investována do výzkumu a vý</w:t>
      </w:r>
      <w:r w:rsidR="002D42D6" w:rsidRPr="002D42D6">
        <w:rPr>
          <w:color w:val="212121"/>
          <w:szCs w:val="24"/>
          <w:shd w:val="clear" w:color="auto" w:fill="FFFFFF"/>
        </w:rPr>
        <w:t xml:space="preserve">voje, </w:t>
      </w:r>
    </w:p>
    <w:p w14:paraId="3734BA08" w14:textId="77777777" w:rsidR="002D42D6" w:rsidRPr="002D42D6" w:rsidRDefault="002D42D6" w:rsidP="00D12EBE">
      <w:pPr>
        <w:widowControl w:val="0"/>
        <w:autoSpaceDE w:val="0"/>
        <w:autoSpaceDN w:val="0"/>
        <w:adjustRightInd w:val="0"/>
        <w:spacing w:after="20"/>
        <w:rPr>
          <w:color w:val="212121"/>
          <w:szCs w:val="24"/>
          <w:shd w:val="clear" w:color="auto" w:fill="FFFFFF"/>
        </w:rPr>
      </w:pPr>
      <w:r w:rsidRPr="002D42D6">
        <w:rPr>
          <w:color w:val="212121"/>
          <w:szCs w:val="24"/>
          <w:shd w:val="clear" w:color="auto" w:fill="FFFFFF"/>
        </w:rPr>
        <w:t xml:space="preserve">–  v </w:t>
      </w:r>
      <w:r w:rsidR="00BD58EF">
        <w:rPr>
          <w:color w:val="212121"/>
          <w:szCs w:val="24"/>
          <w:shd w:val="clear" w:color="auto" w:fill="FFFFFF"/>
        </w:rPr>
        <w:t>oblasti klimatu a energie by mělo být dosaženo cílů „20-20-20“ (včetně zvýšení závazku na snížení emisí na 30 %, pokud budou podmínky příznivé</w:t>
      </w:r>
      <w:r w:rsidRPr="002D42D6">
        <w:rPr>
          <w:color w:val="212121"/>
          <w:szCs w:val="24"/>
          <w:shd w:val="clear" w:color="auto" w:fill="FFFFFF"/>
        </w:rPr>
        <w:t xml:space="preserve">), </w:t>
      </w:r>
    </w:p>
    <w:p w14:paraId="7CD18E55" w14:textId="77777777" w:rsidR="002D42D6" w:rsidRPr="002D42D6" w:rsidRDefault="002D42D6" w:rsidP="00D12EBE">
      <w:pPr>
        <w:widowControl w:val="0"/>
        <w:autoSpaceDE w:val="0"/>
        <w:autoSpaceDN w:val="0"/>
        <w:adjustRightInd w:val="0"/>
        <w:spacing w:after="20"/>
        <w:rPr>
          <w:color w:val="212121"/>
          <w:szCs w:val="24"/>
          <w:shd w:val="clear" w:color="auto" w:fill="FFFFFF"/>
        </w:rPr>
      </w:pPr>
      <w:r w:rsidRPr="002D42D6">
        <w:rPr>
          <w:color w:val="212121"/>
          <w:szCs w:val="24"/>
          <w:shd w:val="clear" w:color="auto" w:fill="FFFFFF"/>
        </w:rPr>
        <w:t>–  </w:t>
      </w:r>
      <w:r w:rsidR="00BD58EF">
        <w:rPr>
          <w:color w:val="212121"/>
          <w:szCs w:val="24"/>
          <w:shd w:val="clear" w:color="auto" w:fill="FFFFFF"/>
        </w:rPr>
        <w:t xml:space="preserve">podíl dětí, které předčasně ukončí školní docházku, by měl být pod hranicí 10 % a nejméně 40 % mladší generace by mělo dosáhnout terciární </w:t>
      </w:r>
      <w:r w:rsidR="009D3CD5">
        <w:rPr>
          <w:color w:val="212121"/>
          <w:szCs w:val="24"/>
          <w:shd w:val="clear" w:color="auto" w:fill="FFFFFF"/>
        </w:rPr>
        <w:t>úrovně</w:t>
      </w:r>
      <w:r w:rsidR="00BD58EF">
        <w:rPr>
          <w:color w:val="212121"/>
          <w:szCs w:val="24"/>
          <w:shd w:val="clear" w:color="auto" w:fill="FFFFFF"/>
        </w:rPr>
        <w:t xml:space="preserve"> vzdělání</w:t>
      </w:r>
      <w:r w:rsidRPr="002D42D6">
        <w:rPr>
          <w:color w:val="212121"/>
          <w:szCs w:val="24"/>
          <w:shd w:val="clear" w:color="auto" w:fill="FFFFFF"/>
        </w:rPr>
        <w:t xml:space="preserve">, </w:t>
      </w:r>
    </w:p>
    <w:p w14:paraId="0E4E5362" w14:textId="77777777" w:rsidR="002D42D6" w:rsidRPr="002D42D6" w:rsidRDefault="00BD58EF" w:rsidP="00D12EBE">
      <w:pPr>
        <w:widowControl w:val="0"/>
        <w:autoSpaceDE w:val="0"/>
        <w:autoSpaceDN w:val="0"/>
        <w:adjustRightInd w:val="0"/>
        <w:spacing w:after="20"/>
        <w:rPr>
          <w:color w:val="212121"/>
          <w:szCs w:val="24"/>
          <w:shd w:val="clear" w:color="auto" w:fill="FFFFFF"/>
        </w:rPr>
      </w:pPr>
      <w:r>
        <w:rPr>
          <w:color w:val="212121"/>
          <w:szCs w:val="24"/>
          <w:shd w:val="clear" w:color="auto" w:fill="FFFFFF"/>
        </w:rPr>
        <w:t>–  počet osob ohrožených chudobou by mě</w:t>
      </w:r>
      <w:r w:rsidR="002D42D6" w:rsidRPr="002D42D6">
        <w:rPr>
          <w:color w:val="212121"/>
          <w:szCs w:val="24"/>
          <w:shd w:val="clear" w:color="auto" w:fill="FFFFFF"/>
        </w:rPr>
        <w:t xml:space="preserve">l klesnout o 20 milionů. </w:t>
      </w:r>
      <w:r w:rsidR="00F444E6">
        <w:rPr>
          <w:color w:val="212121"/>
          <w:szCs w:val="24"/>
          <w:shd w:val="clear" w:color="auto" w:fill="FFFFFF"/>
        </w:rPr>
        <w:t xml:space="preserve">(Europa, 2014) </w:t>
      </w:r>
    </w:p>
    <w:p w14:paraId="6DE19DDB" w14:textId="77777777" w:rsidR="002D42D6" w:rsidRPr="002D42D6" w:rsidRDefault="002D42D6" w:rsidP="00D12EBE">
      <w:pPr>
        <w:widowControl w:val="0"/>
        <w:autoSpaceDE w:val="0"/>
        <w:autoSpaceDN w:val="0"/>
        <w:adjustRightInd w:val="0"/>
        <w:spacing w:after="20"/>
        <w:rPr>
          <w:color w:val="212121"/>
          <w:szCs w:val="24"/>
          <w:shd w:val="clear" w:color="auto" w:fill="FFFFFF"/>
        </w:rPr>
      </w:pPr>
    </w:p>
    <w:p w14:paraId="0371D0CD" w14:textId="77777777" w:rsidR="001168AF" w:rsidRPr="001168AF" w:rsidRDefault="001168AF" w:rsidP="00D12EBE">
      <w:pPr>
        <w:widowControl w:val="0"/>
        <w:autoSpaceDE w:val="0"/>
        <w:autoSpaceDN w:val="0"/>
        <w:adjustRightInd w:val="0"/>
        <w:spacing w:after="20"/>
        <w:rPr>
          <w:color w:val="212121"/>
          <w:szCs w:val="24"/>
          <w:shd w:val="clear" w:color="auto" w:fill="FFFFFF"/>
        </w:rPr>
      </w:pPr>
      <w:r w:rsidRPr="001168AF">
        <w:rPr>
          <w:color w:val="212121"/>
          <w:szCs w:val="24"/>
          <w:shd w:val="clear" w:color="auto" w:fill="FFFFFF"/>
        </w:rPr>
        <w:t>Na internetovýc</w:t>
      </w:r>
      <w:r w:rsidR="00F444E6">
        <w:rPr>
          <w:color w:val="212121"/>
          <w:szCs w:val="24"/>
          <w:shd w:val="clear" w:color="auto" w:fill="FFFFFF"/>
        </w:rPr>
        <w:t>h stránkách Europa (Europa, 2014</w:t>
      </w:r>
      <w:r w:rsidRPr="001168AF">
        <w:rPr>
          <w:color w:val="212121"/>
          <w:szCs w:val="24"/>
          <w:shd w:val="clear" w:color="auto" w:fill="FFFFFF"/>
        </w:rPr>
        <w:t>) se uvádí, že projekt Europa 2020 navazuje na Lisabonskou strategii, a byl podepsán v roce 2010. Jedná se o strategii, její</w:t>
      </w:r>
      <w:r w:rsidR="00F444E6">
        <w:rPr>
          <w:color w:val="212121"/>
          <w:szCs w:val="24"/>
          <w:shd w:val="clear" w:color="auto" w:fill="FFFFFF"/>
        </w:rPr>
        <w:t>mž cílem je dosáhnout nového rů</w:t>
      </w:r>
      <w:r w:rsidRPr="001168AF">
        <w:rPr>
          <w:color w:val="212121"/>
          <w:szCs w:val="24"/>
          <w:shd w:val="clear" w:color="auto" w:fill="FFFFFF"/>
        </w:rPr>
        <w:t>st</w:t>
      </w:r>
      <w:r w:rsidR="00F444E6">
        <w:rPr>
          <w:color w:val="212121"/>
          <w:szCs w:val="24"/>
          <w:shd w:val="clear" w:color="auto" w:fill="FFFFFF"/>
        </w:rPr>
        <w:t>u v příští</w:t>
      </w:r>
      <w:r w:rsidRPr="001168AF">
        <w:rPr>
          <w:color w:val="212121"/>
          <w:szCs w:val="24"/>
          <w:shd w:val="clear" w:color="auto" w:fill="FFFFFF"/>
        </w:rPr>
        <w:t xml:space="preserve">m desetiletí. </w:t>
      </w:r>
      <w:r w:rsidR="00F444E6">
        <w:rPr>
          <w:color w:val="212121"/>
          <w:szCs w:val="24"/>
          <w:shd w:val="clear" w:color="auto" w:fill="FFFFFF"/>
        </w:rPr>
        <w:t>Evropská unie procházela hospodář</w:t>
      </w:r>
      <w:r w:rsidRPr="001168AF">
        <w:rPr>
          <w:color w:val="212121"/>
          <w:szCs w:val="24"/>
          <w:shd w:val="clear" w:color="auto" w:fill="FFFFFF"/>
        </w:rPr>
        <w:t>s</w:t>
      </w:r>
      <w:r w:rsidR="00F444E6">
        <w:rPr>
          <w:color w:val="212121"/>
          <w:szCs w:val="24"/>
          <w:shd w:val="clear" w:color="auto" w:fill="FFFFFF"/>
        </w:rPr>
        <w:t>kou krizí, kterou se snažila překonat a zároveň se snaží o vytvoření konkurenceschopnější ekonomiky s vyšší zaměstnaností. Cílem hospodářského rů</w:t>
      </w:r>
      <w:r w:rsidRPr="001168AF">
        <w:rPr>
          <w:color w:val="212121"/>
          <w:szCs w:val="24"/>
          <w:shd w:val="clear" w:color="auto" w:fill="FFFFFF"/>
        </w:rPr>
        <w:t xml:space="preserve">stu je, aby byl inteligentní (tj. efektivní </w:t>
      </w:r>
      <w:r w:rsidR="00F444E6">
        <w:rPr>
          <w:color w:val="212121"/>
          <w:szCs w:val="24"/>
          <w:shd w:val="clear" w:color="auto" w:fill="FFFFFF"/>
        </w:rPr>
        <w:t>investování do vzdě</w:t>
      </w:r>
      <w:r w:rsidRPr="001168AF">
        <w:rPr>
          <w:color w:val="212121"/>
          <w:szCs w:val="24"/>
          <w:shd w:val="clear" w:color="auto" w:fill="FFFFFF"/>
        </w:rPr>
        <w:t>lání a výzkumu), udržitelný (tj.</w:t>
      </w:r>
      <w:r w:rsidR="00F444E6">
        <w:rPr>
          <w:color w:val="212121"/>
          <w:szCs w:val="24"/>
          <w:shd w:val="clear" w:color="auto" w:fill="FFFFFF"/>
        </w:rPr>
        <w:t xml:space="preserve"> </w:t>
      </w:r>
      <w:r w:rsidRPr="001168AF">
        <w:rPr>
          <w:color w:val="212121"/>
          <w:szCs w:val="24"/>
          <w:shd w:val="clear" w:color="auto" w:fill="FFFFFF"/>
        </w:rPr>
        <w:t>rozvoj nízkouhlíkové ekonomiky) a inklusivní (tj. tv</w:t>
      </w:r>
      <w:r w:rsidR="00F444E6">
        <w:rPr>
          <w:color w:val="212121"/>
          <w:szCs w:val="24"/>
          <w:shd w:val="clear" w:color="auto" w:fill="FFFFFF"/>
        </w:rPr>
        <w:t>orba pracovních míst). Pro zajištění těchto cílů byl zř</w:t>
      </w:r>
      <w:r w:rsidRPr="001168AF">
        <w:rPr>
          <w:color w:val="212121"/>
          <w:szCs w:val="24"/>
          <w:shd w:val="clear" w:color="auto" w:fill="FFFFFF"/>
        </w:rPr>
        <w:t xml:space="preserve">ízen systém správy ekonomických záležitostí. </w:t>
      </w:r>
    </w:p>
    <w:p w14:paraId="4063EDDD" w14:textId="77777777" w:rsidR="001168AF" w:rsidRDefault="00F444E6" w:rsidP="00D12EBE">
      <w:pPr>
        <w:widowControl w:val="0"/>
        <w:autoSpaceDE w:val="0"/>
        <w:autoSpaceDN w:val="0"/>
        <w:adjustRightInd w:val="0"/>
        <w:spacing w:after="240"/>
        <w:rPr>
          <w:color w:val="212121"/>
          <w:szCs w:val="24"/>
          <w:shd w:val="clear" w:color="auto" w:fill="FFFFFF"/>
        </w:rPr>
      </w:pPr>
      <w:r>
        <w:rPr>
          <w:color w:val="212121"/>
          <w:szCs w:val="24"/>
          <w:shd w:val="clear" w:color="auto" w:fill="FFFFFF"/>
        </w:rPr>
        <w:t>Dále portál uvádí 5 hlavních cílů</w:t>
      </w:r>
      <w:r w:rsidR="001168AF" w:rsidRPr="001168AF">
        <w:rPr>
          <w:color w:val="212121"/>
          <w:szCs w:val="24"/>
          <w:shd w:val="clear" w:color="auto" w:fill="FFFFFF"/>
        </w:rPr>
        <w:t>, které byly stanoveny. Do roku 20</w:t>
      </w:r>
      <w:r>
        <w:rPr>
          <w:color w:val="212121"/>
          <w:szCs w:val="24"/>
          <w:shd w:val="clear" w:color="auto" w:fill="FFFFFF"/>
        </w:rPr>
        <w:t>20 by EU chtěla dosáhnout zaměstnanosti 75% osob ve vě</w:t>
      </w:r>
      <w:r w:rsidR="001168AF" w:rsidRPr="001168AF">
        <w:rPr>
          <w:color w:val="212121"/>
          <w:szCs w:val="24"/>
          <w:shd w:val="clear" w:color="auto" w:fill="FFFFFF"/>
        </w:rPr>
        <w:t>kové kategorii 20-64 let. Druhý cíl je investovat</w:t>
      </w:r>
      <w:r>
        <w:rPr>
          <w:color w:val="212121"/>
          <w:szCs w:val="24"/>
          <w:shd w:val="clear" w:color="auto" w:fill="FFFFFF"/>
        </w:rPr>
        <w:t xml:space="preserve"> do výzkumu a vývoje 3% HDP. Tř</w:t>
      </w:r>
      <w:r w:rsidR="001168AF" w:rsidRPr="001168AF">
        <w:rPr>
          <w:color w:val="212121"/>
          <w:szCs w:val="24"/>
          <w:shd w:val="clear" w:color="auto" w:fill="FFFFFF"/>
        </w:rPr>
        <w:t>etí bod klade za cíl dosáhnout snížení emisí skleníkových plynů o 20% v porovnání se stavem v roce 1990, zvýšení podílu</w:t>
      </w:r>
      <w:r>
        <w:rPr>
          <w:color w:val="212121"/>
          <w:szCs w:val="24"/>
          <w:shd w:val="clear" w:color="auto" w:fill="FFFFFF"/>
        </w:rPr>
        <w:t xml:space="preserve"> energie z obnovitelných zdrojů</w:t>
      </w:r>
      <w:r w:rsidR="001168AF" w:rsidRPr="001168AF">
        <w:rPr>
          <w:color w:val="212121"/>
          <w:szCs w:val="24"/>
          <w:shd w:val="clear" w:color="auto" w:fill="FFFFFF"/>
        </w:rPr>
        <w:t xml:space="preserve"> </w:t>
      </w:r>
      <w:r>
        <w:rPr>
          <w:color w:val="212121"/>
          <w:szCs w:val="24"/>
          <w:shd w:val="clear" w:color="auto" w:fill="FFFFFF"/>
        </w:rPr>
        <w:t>na 20% a zvýšení energetické účinnosti o 20%. Ve č</w:t>
      </w:r>
      <w:r w:rsidR="001168AF" w:rsidRPr="001168AF">
        <w:rPr>
          <w:color w:val="212121"/>
          <w:szCs w:val="24"/>
          <w:shd w:val="clear" w:color="auto" w:fill="FFFFFF"/>
        </w:rPr>
        <w:t>tvrt</w:t>
      </w:r>
      <w:r>
        <w:rPr>
          <w:color w:val="212121"/>
          <w:szCs w:val="24"/>
          <w:shd w:val="clear" w:color="auto" w:fill="FFFFFF"/>
        </w:rPr>
        <w:t>ém cíli je zahrnuta oblast vzdělávání, ve které by EU chtěla snížit míru nedokonč</w:t>
      </w:r>
      <w:r w:rsidR="001168AF" w:rsidRPr="001168AF">
        <w:rPr>
          <w:color w:val="212121"/>
          <w:szCs w:val="24"/>
          <w:shd w:val="clear" w:color="auto" w:fill="FFFFFF"/>
        </w:rPr>
        <w:t>ení st</w:t>
      </w:r>
      <w:r>
        <w:rPr>
          <w:color w:val="212121"/>
          <w:szCs w:val="24"/>
          <w:shd w:val="clear" w:color="auto" w:fill="FFFFFF"/>
        </w:rPr>
        <w:t>udia pod 10%, dosáhnout alespoň</w:t>
      </w:r>
      <w:r w:rsidR="001168AF" w:rsidRPr="001168AF">
        <w:rPr>
          <w:color w:val="212121"/>
          <w:szCs w:val="24"/>
          <w:shd w:val="clear" w:color="auto" w:fill="FFFFFF"/>
        </w:rPr>
        <w:t xml:space="preserve"> 40% podílu vysokoškol</w:t>
      </w:r>
      <w:r>
        <w:rPr>
          <w:color w:val="212121"/>
          <w:szCs w:val="24"/>
          <w:shd w:val="clear" w:color="auto" w:fill="FFFFFF"/>
        </w:rPr>
        <w:t>sky vzdělaného obyvatelstva ve vě</w:t>
      </w:r>
      <w:r w:rsidR="001168AF" w:rsidRPr="001168AF">
        <w:rPr>
          <w:color w:val="212121"/>
          <w:szCs w:val="24"/>
          <w:shd w:val="clear" w:color="auto" w:fill="FFFFFF"/>
        </w:rPr>
        <w:t>kové ka</w:t>
      </w:r>
      <w:r>
        <w:rPr>
          <w:color w:val="212121"/>
          <w:szCs w:val="24"/>
          <w:shd w:val="clear" w:color="auto" w:fill="FFFFFF"/>
        </w:rPr>
        <w:t>tegorii 30-34 let. V posledním době</w:t>
      </w:r>
      <w:r w:rsidR="001168AF" w:rsidRPr="001168AF">
        <w:rPr>
          <w:color w:val="212121"/>
          <w:szCs w:val="24"/>
          <w:shd w:val="clear" w:color="auto" w:fill="FFFFFF"/>
        </w:rPr>
        <w:t xml:space="preserve"> se E</w:t>
      </w:r>
      <w:r>
        <w:rPr>
          <w:color w:val="212121"/>
          <w:szCs w:val="24"/>
          <w:shd w:val="clear" w:color="auto" w:fill="FFFFFF"/>
        </w:rPr>
        <w:t>vropská unie snaží o 20 milionů snížit počet lidí, kteří žijí v chudobě a sociálním vylouč</w:t>
      </w:r>
      <w:r w:rsidR="001168AF" w:rsidRPr="001168AF">
        <w:rPr>
          <w:color w:val="212121"/>
          <w:szCs w:val="24"/>
          <w:shd w:val="clear" w:color="auto" w:fill="FFFFFF"/>
        </w:rPr>
        <w:t>ení nebo jsou na po</w:t>
      </w:r>
      <w:r>
        <w:rPr>
          <w:color w:val="212121"/>
          <w:szCs w:val="24"/>
          <w:shd w:val="clear" w:color="auto" w:fill="FFFFFF"/>
        </w:rPr>
        <w:t>kraji chudoby a sociální vylouč</w:t>
      </w:r>
      <w:r w:rsidR="001168AF" w:rsidRPr="001168AF">
        <w:rPr>
          <w:color w:val="212121"/>
          <w:szCs w:val="24"/>
          <w:shd w:val="clear" w:color="auto" w:fill="FFFFFF"/>
        </w:rPr>
        <w:t xml:space="preserve">ení jim hrozí. </w:t>
      </w:r>
    </w:p>
    <w:p w14:paraId="54A90343" w14:textId="77777777" w:rsidR="00F23A25" w:rsidRPr="00F23A25" w:rsidRDefault="001D7F29" w:rsidP="00F23A25">
      <w:pPr>
        <w:pStyle w:val="Nadpis3"/>
      </w:pPr>
      <w:bookmarkStart w:id="18" w:name="_Toc281822794"/>
      <w:r>
        <w:t>Europa 2020 – Polsko</w:t>
      </w:r>
      <w:bookmarkEnd w:id="18"/>
    </w:p>
    <w:p w14:paraId="72EF0238" w14:textId="67571242" w:rsidR="001D7F29" w:rsidRPr="001D7F29" w:rsidRDefault="001D7F29" w:rsidP="00625F4B">
      <w:pPr>
        <w:widowControl w:val="0"/>
        <w:autoSpaceDE w:val="0"/>
        <w:autoSpaceDN w:val="0"/>
        <w:adjustRightInd w:val="0"/>
        <w:spacing w:after="20"/>
        <w:rPr>
          <w:color w:val="212121"/>
          <w:szCs w:val="24"/>
          <w:shd w:val="clear" w:color="auto" w:fill="FFFFFF"/>
        </w:rPr>
      </w:pPr>
      <w:r w:rsidRPr="001D7F29">
        <w:rPr>
          <w:color w:val="212121"/>
          <w:szCs w:val="24"/>
          <w:shd w:val="clear" w:color="auto" w:fill="FFFFFF"/>
        </w:rPr>
        <w:t>Jak uvádí Europa 2020 (2014</w:t>
      </w:r>
      <w:r w:rsidR="00A53EEF">
        <w:rPr>
          <w:color w:val="212121"/>
          <w:szCs w:val="24"/>
          <w:shd w:val="clear" w:color="auto" w:fill="FFFFFF"/>
        </w:rPr>
        <w:t xml:space="preserve">), Polsko je jedinou členskou zemí EU, která do cílů Europa 2020 </w:t>
      </w:r>
      <w:r w:rsidRPr="001D7F29">
        <w:rPr>
          <w:color w:val="212121"/>
          <w:szCs w:val="24"/>
          <w:shd w:val="clear" w:color="auto" w:fill="FFFFFF"/>
        </w:rPr>
        <w:t>umístila pozitivní růst po celou dobu krize. Po zpomalení</w:t>
      </w:r>
      <w:r w:rsidR="00A53EEF">
        <w:rPr>
          <w:color w:val="212121"/>
          <w:szCs w:val="24"/>
          <w:shd w:val="clear" w:color="auto" w:fill="FFFFFF"/>
        </w:rPr>
        <w:t xml:space="preserve"> p</w:t>
      </w:r>
      <w:r w:rsidR="00044DD0">
        <w:rPr>
          <w:color w:val="212121"/>
          <w:szCs w:val="24"/>
          <w:shd w:val="clear" w:color="auto" w:fill="FFFFFF"/>
        </w:rPr>
        <w:t>olské ekonomiky</w:t>
      </w:r>
      <w:r w:rsidRPr="001D7F29">
        <w:rPr>
          <w:color w:val="212121"/>
          <w:szCs w:val="24"/>
          <w:shd w:val="clear" w:color="auto" w:fill="FFFFFF"/>
        </w:rPr>
        <w:t xml:space="preserve"> v průběhu posle</w:t>
      </w:r>
      <w:r w:rsidR="00044DD0">
        <w:rPr>
          <w:color w:val="212121"/>
          <w:szCs w:val="24"/>
          <w:shd w:val="clear" w:color="auto" w:fill="FFFFFF"/>
        </w:rPr>
        <w:t>dních dvou let,</w:t>
      </w:r>
      <w:r w:rsidRPr="001D7F29">
        <w:rPr>
          <w:color w:val="212121"/>
          <w:szCs w:val="24"/>
          <w:shd w:val="clear" w:color="auto" w:fill="FFFFFF"/>
        </w:rPr>
        <w:t xml:space="preserve"> se očekává, že</w:t>
      </w:r>
      <w:r w:rsidR="00044DD0">
        <w:rPr>
          <w:color w:val="212121"/>
          <w:szCs w:val="24"/>
          <w:shd w:val="clear" w:color="auto" w:fill="FFFFFF"/>
        </w:rPr>
        <w:t xml:space="preserve"> dojde</w:t>
      </w:r>
      <w:r w:rsidRPr="001D7F29">
        <w:rPr>
          <w:color w:val="212121"/>
          <w:szCs w:val="24"/>
          <w:shd w:val="clear" w:color="auto" w:fill="FFFFFF"/>
        </w:rPr>
        <w:t xml:space="preserve"> k</w:t>
      </w:r>
      <w:r w:rsidR="00044DD0">
        <w:rPr>
          <w:color w:val="212121"/>
          <w:szCs w:val="24"/>
          <w:shd w:val="clear" w:color="auto" w:fill="FFFFFF"/>
        </w:rPr>
        <w:t xml:space="preserve"> výraznému vzrůstu v roce 2014. Dále</w:t>
      </w:r>
      <w:r w:rsidRPr="001D7F29">
        <w:rPr>
          <w:color w:val="212121"/>
          <w:szCs w:val="24"/>
          <w:shd w:val="clear" w:color="auto" w:fill="FFFFFF"/>
        </w:rPr>
        <w:t xml:space="preserve"> se</w:t>
      </w:r>
      <w:r w:rsidR="00044DD0">
        <w:rPr>
          <w:color w:val="212121"/>
          <w:szCs w:val="24"/>
          <w:shd w:val="clear" w:color="auto" w:fill="FFFFFF"/>
        </w:rPr>
        <w:t xml:space="preserve"> předpokládá, že míra nezaměstnanosti v příštích letech bude dále klesat. </w:t>
      </w:r>
      <w:r w:rsidRPr="001D7F29">
        <w:rPr>
          <w:color w:val="212121"/>
          <w:szCs w:val="24"/>
          <w:shd w:val="clear" w:color="auto" w:fill="FFFFFF"/>
        </w:rPr>
        <w:t xml:space="preserve">Další fiskální konsolidace je nutná k </w:t>
      </w:r>
      <w:r w:rsidR="00044DD0">
        <w:rPr>
          <w:color w:val="212121"/>
          <w:szCs w:val="24"/>
          <w:shd w:val="clear" w:color="auto" w:fill="FFFFFF"/>
        </w:rPr>
        <w:t xml:space="preserve">nápravě nadměrného schodku a to včas </w:t>
      </w:r>
      <w:r w:rsidRPr="001D7F29">
        <w:rPr>
          <w:color w:val="212121"/>
          <w:szCs w:val="24"/>
          <w:shd w:val="clear" w:color="auto" w:fill="FFFFFF"/>
        </w:rPr>
        <w:t>a udržitelným způsobem.</w:t>
      </w:r>
    </w:p>
    <w:p w14:paraId="5635193A" w14:textId="77777777" w:rsidR="001D7F29" w:rsidRDefault="001D7F29" w:rsidP="00625F4B">
      <w:pPr>
        <w:widowControl w:val="0"/>
        <w:autoSpaceDE w:val="0"/>
        <w:autoSpaceDN w:val="0"/>
        <w:adjustRightInd w:val="0"/>
        <w:spacing w:after="20"/>
        <w:rPr>
          <w:color w:val="212121"/>
          <w:szCs w:val="24"/>
          <w:shd w:val="clear" w:color="auto" w:fill="FFFFFF"/>
        </w:rPr>
      </w:pPr>
      <w:r w:rsidRPr="001D7F29">
        <w:rPr>
          <w:color w:val="212121"/>
          <w:szCs w:val="24"/>
          <w:shd w:val="clear" w:color="auto" w:fill="FFFFFF"/>
        </w:rPr>
        <w:t>Polsko s</w:t>
      </w:r>
      <w:r w:rsidR="00044DD0">
        <w:rPr>
          <w:color w:val="212121"/>
          <w:szCs w:val="24"/>
          <w:shd w:val="clear" w:color="auto" w:fill="FFFFFF"/>
        </w:rPr>
        <w:t>e zavázalo řešit některé problémy</w:t>
      </w:r>
      <w:r w:rsidRPr="001D7F29">
        <w:rPr>
          <w:color w:val="212121"/>
          <w:szCs w:val="24"/>
          <w:shd w:val="clear" w:color="auto" w:fill="FFFFFF"/>
        </w:rPr>
        <w:t xml:space="preserve"> </w:t>
      </w:r>
      <w:r w:rsidR="00044DD0">
        <w:rPr>
          <w:color w:val="212121"/>
          <w:szCs w:val="24"/>
          <w:shd w:val="clear" w:color="auto" w:fill="FFFFFF"/>
        </w:rPr>
        <w:t xml:space="preserve">uvedené </w:t>
      </w:r>
      <w:r w:rsidRPr="001D7F29">
        <w:rPr>
          <w:color w:val="212121"/>
          <w:szCs w:val="24"/>
          <w:shd w:val="clear" w:color="auto" w:fill="FFFFFF"/>
        </w:rPr>
        <w:t>v</w:t>
      </w:r>
      <w:r w:rsidR="00044DD0">
        <w:rPr>
          <w:color w:val="212121"/>
          <w:szCs w:val="24"/>
          <w:shd w:val="clear" w:color="auto" w:fill="FFFFFF"/>
        </w:rPr>
        <w:t> </w:t>
      </w:r>
      <w:r w:rsidRPr="001D7F29">
        <w:rPr>
          <w:color w:val="212121"/>
          <w:szCs w:val="24"/>
          <w:shd w:val="clear" w:color="auto" w:fill="FFFFFF"/>
        </w:rPr>
        <w:t>doporučeních</w:t>
      </w:r>
      <w:r w:rsidR="00044DD0">
        <w:rPr>
          <w:color w:val="212121"/>
          <w:szCs w:val="24"/>
          <w:shd w:val="clear" w:color="auto" w:fill="FFFFFF"/>
        </w:rPr>
        <w:t xml:space="preserve"> Europy 2020</w:t>
      </w:r>
      <w:r w:rsidRPr="001D7F29">
        <w:rPr>
          <w:color w:val="212121"/>
          <w:szCs w:val="24"/>
          <w:shd w:val="clear" w:color="auto" w:fill="FFFFFF"/>
        </w:rPr>
        <w:t xml:space="preserve"> pro jednotlivé země v roce 2013.</w:t>
      </w:r>
      <w:r w:rsidR="00044DD0">
        <w:rPr>
          <w:color w:val="212121"/>
          <w:szCs w:val="24"/>
          <w:shd w:val="clear" w:color="auto" w:fill="FFFFFF"/>
        </w:rPr>
        <w:t xml:space="preserve"> </w:t>
      </w:r>
      <w:r w:rsidRPr="001D7F29">
        <w:rPr>
          <w:color w:val="212121"/>
          <w:szCs w:val="24"/>
          <w:shd w:val="clear" w:color="auto" w:fill="FFFFFF"/>
        </w:rPr>
        <w:t>Vláda posílila fiskální rámec, přija</w:t>
      </w:r>
      <w:r w:rsidR="00044DD0">
        <w:rPr>
          <w:color w:val="212121"/>
          <w:szCs w:val="24"/>
          <w:shd w:val="clear" w:color="auto" w:fill="FFFFFF"/>
        </w:rPr>
        <w:t>la strategii celoživotního vzdělávání, lepší přístup k péči</w:t>
      </w:r>
      <w:r w:rsidRPr="001D7F29">
        <w:rPr>
          <w:color w:val="212121"/>
          <w:szCs w:val="24"/>
          <w:shd w:val="clear" w:color="auto" w:fill="FFFFFF"/>
        </w:rPr>
        <w:t xml:space="preserve"> o děti a </w:t>
      </w:r>
      <w:r w:rsidR="00044DD0">
        <w:rPr>
          <w:color w:val="212121"/>
          <w:szCs w:val="24"/>
          <w:shd w:val="clear" w:color="auto" w:fill="FFFFFF"/>
        </w:rPr>
        <w:t xml:space="preserve">následně </w:t>
      </w:r>
      <w:r w:rsidRPr="001D7F29">
        <w:rPr>
          <w:color w:val="212121"/>
          <w:szCs w:val="24"/>
          <w:shd w:val="clear" w:color="auto" w:fill="FFFFFF"/>
        </w:rPr>
        <w:t>pokračoval</w:t>
      </w:r>
      <w:r w:rsidR="00044DD0">
        <w:rPr>
          <w:color w:val="212121"/>
          <w:szCs w:val="24"/>
          <w:shd w:val="clear" w:color="auto" w:fill="FFFFFF"/>
        </w:rPr>
        <w:t>a</w:t>
      </w:r>
      <w:r w:rsidRPr="001D7F29">
        <w:rPr>
          <w:color w:val="212121"/>
          <w:szCs w:val="24"/>
          <w:shd w:val="clear" w:color="auto" w:fill="FFFFFF"/>
        </w:rPr>
        <w:t xml:space="preserve"> v provádění reformy systému odborného vzdělávání, který by měl přispět ke zvýšení zaměstnanosti. Kromě toho došlo k významnému pokroku při provádění ambiciózní reformu, která usnadňuje přístup k regulovaným povoláním.</w:t>
      </w:r>
    </w:p>
    <w:p w14:paraId="4E159BB6" w14:textId="77777777" w:rsidR="00044DD0" w:rsidRPr="00044DD0" w:rsidRDefault="00044DD0" w:rsidP="00044DD0">
      <w:pPr>
        <w:widowControl w:val="0"/>
        <w:autoSpaceDE w:val="0"/>
        <w:autoSpaceDN w:val="0"/>
        <w:adjustRightInd w:val="0"/>
        <w:spacing w:after="0"/>
      </w:pPr>
      <w:r>
        <w:t>Nicméně, Polsko čelí i několika dalším problémům, které vyžadují ambiciózní a vytrvalé úsilí na podporu růstu a vytváření pracovních míst. Výzvy jsou soustředěny ve čtyřech oblastech: veřejné finance, účasti na trhu práce, infrastruktury a podnikat</w:t>
      </w:r>
      <w:r w:rsidR="000F1539">
        <w:t>elského a inovačního prostředí.</w:t>
      </w:r>
    </w:p>
    <w:p w14:paraId="2E03868F" w14:textId="77777777" w:rsidR="00F23A25" w:rsidRPr="00F23A25" w:rsidRDefault="003E4795" w:rsidP="00F23A25">
      <w:pPr>
        <w:pStyle w:val="Nadpis3"/>
      </w:pPr>
      <w:bookmarkStart w:id="19" w:name="_Toc281822795"/>
      <w:r>
        <w:t>Europa 2020- Česká republika</w:t>
      </w:r>
      <w:bookmarkEnd w:id="19"/>
    </w:p>
    <w:p w14:paraId="584DF5F0" w14:textId="77777777" w:rsidR="003E4795" w:rsidRPr="003E4795" w:rsidRDefault="003E4795" w:rsidP="00D12EBE">
      <w:pPr>
        <w:widowControl w:val="0"/>
        <w:autoSpaceDE w:val="0"/>
        <w:autoSpaceDN w:val="0"/>
        <w:adjustRightInd w:val="0"/>
        <w:spacing w:after="0"/>
      </w:pPr>
      <w:r>
        <w:t xml:space="preserve">Jak je uvedeno dle Europa 2020 (2014), </w:t>
      </w:r>
      <w:r w:rsidRPr="003E4795">
        <w:t>Po dvouleté hospodářské r</w:t>
      </w:r>
      <w:r w:rsidR="003D538A">
        <w:t>ecesi v roce 2014 České republika</w:t>
      </w:r>
      <w:r w:rsidRPr="003E4795">
        <w:t xml:space="preserve"> ukončuje postup při nadměrném schodku a oživení její ekonomiky opět nabírá na síle. Míra nezaměstnanosti ke konci loňského roku mírně poklesla a očekává se, že se dále sníží i v roce 2015.</w:t>
      </w:r>
    </w:p>
    <w:p w14:paraId="41E0D7CC" w14:textId="77777777" w:rsidR="003E4795" w:rsidRPr="003E4795" w:rsidRDefault="003E4795" w:rsidP="00D12EBE">
      <w:pPr>
        <w:widowControl w:val="0"/>
        <w:autoSpaceDE w:val="0"/>
        <w:autoSpaceDN w:val="0"/>
        <w:adjustRightInd w:val="0"/>
        <w:spacing w:after="0"/>
      </w:pPr>
      <w:r w:rsidRPr="003E4795">
        <w:t>Určitého pokroku dosáhla Česká republika za poslední rok i ve zlepšování své fiskální pozice, dodržování daňových požadavků a zvyšování úrovně výsledků institucí povinného vzdělávání a výzkumných ústavů. Nicméně snahy o reformu v jiných oblastech byly pouze omezené, zejména pokud jde o zlepšení efektivity veřejných služeb zaměstnanosti, zajišťování dostupnosti služeb péče o děti, provádění protikorupční strategie, zlepšování provádění veřejných zakázek a správy fondů EU, deregulaci odvětví služeb a zvyšování energetické účinnosti. Několika oblastem nebyla při tom věnována vůbec žádná pozornost.</w:t>
      </w:r>
    </w:p>
    <w:p w14:paraId="69C37E41" w14:textId="77777777" w:rsidR="003E4795" w:rsidRPr="003E4795" w:rsidRDefault="003E4795" w:rsidP="00D12EBE">
      <w:pPr>
        <w:widowControl w:val="0"/>
        <w:autoSpaceDE w:val="0"/>
        <w:autoSpaceDN w:val="0"/>
        <w:adjustRightInd w:val="0"/>
        <w:spacing w:after="0"/>
      </w:pPr>
      <w:r w:rsidRPr="003E4795">
        <w:t xml:space="preserve">V krátkodobém horizontu je pro Českou republiku hlavním úkolem ukončit dlouhé období utlumeného růstu tím, že se bude soustředit na veřejné investice do infrastruktury, zajištění účinné absorpce finančních prostředků EU, lepší fungování veřejné správy, aktivizaci nevyužitého potenciálu pracovní síly a efektivnější využívání výhod plynoucích z rychle rostoucí základny pro výzkum a vývoj. </w:t>
      </w:r>
    </w:p>
    <w:p w14:paraId="0BCF78F4" w14:textId="77777777" w:rsidR="003E4795" w:rsidRDefault="003E4795" w:rsidP="000F1539">
      <w:pPr>
        <w:widowControl w:val="0"/>
        <w:autoSpaceDE w:val="0"/>
        <w:autoSpaceDN w:val="0"/>
        <w:adjustRightInd w:val="0"/>
        <w:spacing w:after="0"/>
      </w:pPr>
      <w:r w:rsidRPr="003E4795">
        <w:t>Komise vydala pro Českou republiku sedm konkrétních doporučení, která mají pomoci zlepšit výkon jejího hospodářství. Týkají se těchto oblastí: veřejné finance, zdanění, důchody a zdravotní péče, trh práce, vzdělávání, odborná příprava a mobilita, služby, veřejná správa.</w:t>
      </w:r>
    </w:p>
    <w:p w14:paraId="315FED5A" w14:textId="77777777" w:rsidR="000F1539" w:rsidRPr="001D7F29" w:rsidRDefault="000F1539" w:rsidP="00625F4B">
      <w:pPr>
        <w:widowControl w:val="0"/>
        <w:autoSpaceDE w:val="0"/>
        <w:autoSpaceDN w:val="0"/>
        <w:adjustRightInd w:val="0"/>
        <w:spacing w:after="0"/>
        <w:jc w:val="left"/>
      </w:pPr>
    </w:p>
    <w:p w14:paraId="48215ED3" w14:textId="77777777" w:rsidR="00D24DB6" w:rsidRPr="00BA2BBB" w:rsidRDefault="00D24DB6" w:rsidP="00625F4B">
      <w:pPr>
        <w:widowControl w:val="0"/>
        <w:autoSpaceDE w:val="0"/>
        <w:autoSpaceDN w:val="0"/>
        <w:adjustRightInd w:val="0"/>
        <w:spacing w:after="20"/>
        <w:rPr>
          <w:color w:val="212121"/>
          <w:szCs w:val="24"/>
          <w:shd w:val="clear" w:color="auto" w:fill="FFFFFF"/>
        </w:rPr>
      </w:pPr>
    </w:p>
    <w:p w14:paraId="433FA948" w14:textId="77777777" w:rsidR="00CD7BF9" w:rsidRPr="00D24DB6" w:rsidRDefault="00B92373" w:rsidP="00625F4B">
      <w:pPr>
        <w:spacing w:after="20"/>
        <w:rPr>
          <w:rFonts w:eastAsia="Calibri"/>
          <w:sz w:val="22"/>
          <w:szCs w:val="22"/>
        </w:rPr>
      </w:pPr>
      <w:r w:rsidRPr="00B92373">
        <w:rPr>
          <w:rFonts w:eastAsia="Calibri"/>
          <w:b/>
          <w:sz w:val="22"/>
          <w:szCs w:val="22"/>
        </w:rPr>
        <w:t>Tabulka 1</w:t>
      </w:r>
      <w:r>
        <w:rPr>
          <w:rFonts w:eastAsia="Calibri"/>
          <w:b/>
          <w:sz w:val="22"/>
          <w:szCs w:val="22"/>
        </w:rPr>
        <w:t xml:space="preserve"> </w:t>
      </w:r>
      <w:r w:rsidRPr="00D24DB6">
        <w:rPr>
          <w:rFonts w:eastAsia="Calibri"/>
          <w:sz w:val="22"/>
          <w:szCs w:val="22"/>
        </w:rPr>
        <w:t>Cíle stra</w:t>
      </w:r>
      <w:r w:rsidR="000F1539">
        <w:rPr>
          <w:rFonts w:eastAsia="Calibri"/>
          <w:sz w:val="22"/>
          <w:szCs w:val="22"/>
        </w:rPr>
        <w:t xml:space="preserve">tegie Evropa 2020 (hlavní cíle </w:t>
      </w:r>
      <w:r w:rsidRPr="00D24DB6">
        <w:rPr>
          <w:rFonts w:eastAsia="Calibri"/>
          <w:sz w:val="22"/>
          <w:szCs w:val="22"/>
        </w:rPr>
        <w:t>ČR a Polsko)</w:t>
      </w:r>
    </w:p>
    <w:tbl>
      <w:tblPr>
        <w:tblStyle w:val="Mkatabulky"/>
        <w:tblW w:w="9199" w:type="dxa"/>
        <w:tblInd w:w="-459" w:type="dxa"/>
        <w:tblLook w:val="04A0" w:firstRow="1" w:lastRow="0" w:firstColumn="1" w:lastColumn="0" w:noHBand="0" w:noVBand="1"/>
      </w:tblPr>
      <w:tblGrid>
        <w:gridCol w:w="2514"/>
        <w:gridCol w:w="1752"/>
        <w:gridCol w:w="2635"/>
        <w:gridCol w:w="2298"/>
      </w:tblGrid>
      <w:tr w:rsidR="00B92373" w14:paraId="3F3D4789" w14:textId="77777777" w:rsidTr="00B92373">
        <w:trPr>
          <w:trHeight w:val="733"/>
        </w:trPr>
        <w:tc>
          <w:tcPr>
            <w:tcW w:w="2514" w:type="dxa"/>
            <w:tcBorders>
              <w:right w:val="single" w:sz="4" w:space="0" w:color="auto"/>
            </w:tcBorders>
          </w:tcPr>
          <w:p w14:paraId="7C4E06D2" w14:textId="77777777" w:rsidR="00CA74E9" w:rsidRDefault="00CA74E9" w:rsidP="00625F4B">
            <w:pPr>
              <w:spacing w:after="20"/>
              <w:jc w:val="center"/>
            </w:pPr>
          </w:p>
        </w:tc>
        <w:tc>
          <w:tcPr>
            <w:tcW w:w="1752" w:type="dxa"/>
            <w:tcBorders>
              <w:top w:val="single" w:sz="4" w:space="0" w:color="auto"/>
              <w:left w:val="single" w:sz="4" w:space="0" w:color="auto"/>
              <w:bottom w:val="single" w:sz="4" w:space="0" w:color="auto"/>
            </w:tcBorders>
          </w:tcPr>
          <w:p w14:paraId="5868940F" w14:textId="77777777" w:rsidR="00CA74E9" w:rsidRPr="00B92373" w:rsidRDefault="00CA74E9" w:rsidP="00625F4B">
            <w:pPr>
              <w:spacing w:after="20"/>
              <w:jc w:val="center"/>
              <w:rPr>
                <w:rFonts w:ascii="Times New Roman" w:hAnsi="Times New Roman"/>
                <w:b/>
                <w:sz w:val="28"/>
                <w:szCs w:val="28"/>
              </w:rPr>
            </w:pPr>
          </w:p>
          <w:p w14:paraId="3F04E156" w14:textId="77777777" w:rsidR="00CA74E9" w:rsidRPr="00B92373" w:rsidRDefault="00CA74E9" w:rsidP="00625F4B">
            <w:pPr>
              <w:spacing w:after="20"/>
              <w:jc w:val="center"/>
              <w:rPr>
                <w:rFonts w:ascii="Times New Roman" w:hAnsi="Times New Roman"/>
                <w:b/>
                <w:sz w:val="28"/>
                <w:szCs w:val="28"/>
              </w:rPr>
            </w:pPr>
            <w:r w:rsidRPr="00B92373">
              <w:rPr>
                <w:rFonts w:ascii="Times New Roman" w:hAnsi="Times New Roman"/>
                <w:b/>
                <w:sz w:val="28"/>
                <w:szCs w:val="28"/>
              </w:rPr>
              <w:t>Hlavní cíle EU</w:t>
            </w:r>
          </w:p>
        </w:tc>
        <w:tc>
          <w:tcPr>
            <w:tcW w:w="2635" w:type="dxa"/>
            <w:tcBorders>
              <w:top w:val="single" w:sz="4" w:space="0" w:color="auto"/>
              <w:bottom w:val="single" w:sz="4" w:space="0" w:color="auto"/>
            </w:tcBorders>
          </w:tcPr>
          <w:p w14:paraId="39456A92" w14:textId="77777777" w:rsidR="00CA74E9" w:rsidRPr="00B92373" w:rsidRDefault="00CA74E9" w:rsidP="00625F4B">
            <w:pPr>
              <w:spacing w:after="20"/>
              <w:jc w:val="center"/>
              <w:rPr>
                <w:rFonts w:ascii="Times New Roman" w:hAnsi="Times New Roman"/>
                <w:b/>
                <w:sz w:val="28"/>
                <w:szCs w:val="28"/>
              </w:rPr>
            </w:pPr>
          </w:p>
          <w:p w14:paraId="37164412" w14:textId="77777777" w:rsidR="00CA74E9" w:rsidRPr="00B92373" w:rsidRDefault="00CA74E9" w:rsidP="00625F4B">
            <w:pPr>
              <w:spacing w:after="20"/>
              <w:jc w:val="center"/>
              <w:rPr>
                <w:rFonts w:ascii="Times New Roman" w:hAnsi="Times New Roman"/>
                <w:b/>
                <w:sz w:val="28"/>
                <w:szCs w:val="28"/>
              </w:rPr>
            </w:pPr>
            <w:r w:rsidRPr="00B92373">
              <w:rPr>
                <w:rFonts w:ascii="Times New Roman" w:hAnsi="Times New Roman"/>
                <w:b/>
                <w:sz w:val="28"/>
                <w:szCs w:val="28"/>
              </w:rPr>
              <w:t>ČR</w:t>
            </w:r>
          </w:p>
        </w:tc>
        <w:tc>
          <w:tcPr>
            <w:tcW w:w="2298" w:type="dxa"/>
            <w:tcBorders>
              <w:top w:val="single" w:sz="4" w:space="0" w:color="auto"/>
              <w:bottom w:val="single" w:sz="4" w:space="0" w:color="auto"/>
              <w:right w:val="single" w:sz="4" w:space="0" w:color="auto"/>
            </w:tcBorders>
          </w:tcPr>
          <w:p w14:paraId="6C3E48FE" w14:textId="77777777" w:rsidR="00CA74E9" w:rsidRPr="00B92373" w:rsidRDefault="00CA74E9" w:rsidP="00625F4B">
            <w:pPr>
              <w:spacing w:after="20"/>
              <w:jc w:val="center"/>
              <w:rPr>
                <w:rFonts w:ascii="Times New Roman" w:hAnsi="Times New Roman"/>
                <w:b/>
                <w:sz w:val="28"/>
                <w:szCs w:val="28"/>
              </w:rPr>
            </w:pPr>
          </w:p>
          <w:p w14:paraId="2C832C0A" w14:textId="77777777" w:rsidR="00CA74E9" w:rsidRPr="00B92373" w:rsidRDefault="00CA74E9" w:rsidP="00625F4B">
            <w:pPr>
              <w:spacing w:after="20"/>
              <w:jc w:val="center"/>
              <w:rPr>
                <w:rFonts w:ascii="Times New Roman" w:hAnsi="Times New Roman"/>
                <w:b/>
                <w:sz w:val="28"/>
                <w:szCs w:val="28"/>
              </w:rPr>
            </w:pPr>
            <w:r w:rsidRPr="00B92373">
              <w:rPr>
                <w:rFonts w:ascii="Times New Roman" w:hAnsi="Times New Roman"/>
                <w:b/>
                <w:sz w:val="28"/>
                <w:szCs w:val="28"/>
              </w:rPr>
              <w:t>Polsko</w:t>
            </w:r>
          </w:p>
        </w:tc>
      </w:tr>
      <w:tr w:rsidR="00B92373" w14:paraId="24115855" w14:textId="77777777" w:rsidTr="00B92373">
        <w:trPr>
          <w:trHeight w:val="629"/>
        </w:trPr>
        <w:tc>
          <w:tcPr>
            <w:tcW w:w="2514" w:type="dxa"/>
          </w:tcPr>
          <w:p w14:paraId="2CEE2CAF" w14:textId="77777777" w:rsidR="00F23A25" w:rsidRDefault="00F23A25" w:rsidP="00625F4B">
            <w:pPr>
              <w:spacing w:after="20"/>
              <w:jc w:val="center"/>
              <w:rPr>
                <w:rFonts w:ascii="Times New Roman" w:hAnsi="Times New Roman"/>
                <w:b/>
                <w:szCs w:val="24"/>
              </w:rPr>
            </w:pPr>
          </w:p>
          <w:p w14:paraId="48350E37" w14:textId="77777777" w:rsidR="00CA74E9" w:rsidRPr="00B92373" w:rsidRDefault="004C4948" w:rsidP="00625F4B">
            <w:pPr>
              <w:spacing w:after="20"/>
              <w:jc w:val="center"/>
              <w:rPr>
                <w:rFonts w:ascii="Times New Roman" w:hAnsi="Times New Roman"/>
                <w:b/>
                <w:szCs w:val="24"/>
              </w:rPr>
            </w:pPr>
            <w:r w:rsidRPr="00B92373">
              <w:rPr>
                <w:rFonts w:ascii="Times New Roman" w:hAnsi="Times New Roman"/>
                <w:b/>
                <w:szCs w:val="24"/>
              </w:rPr>
              <w:t xml:space="preserve">Míra </w:t>
            </w:r>
            <w:r w:rsidR="00CA74E9" w:rsidRPr="00B92373">
              <w:rPr>
                <w:rFonts w:ascii="Times New Roman" w:hAnsi="Times New Roman"/>
                <w:b/>
                <w:szCs w:val="24"/>
              </w:rPr>
              <w:t>zaměstnanosti (v%)</w:t>
            </w:r>
          </w:p>
        </w:tc>
        <w:tc>
          <w:tcPr>
            <w:tcW w:w="1752" w:type="dxa"/>
            <w:tcBorders>
              <w:top w:val="single" w:sz="4" w:space="0" w:color="auto"/>
            </w:tcBorders>
          </w:tcPr>
          <w:p w14:paraId="366F2940" w14:textId="77777777" w:rsidR="00F23A25" w:rsidRDefault="00F23A25" w:rsidP="00625F4B">
            <w:pPr>
              <w:spacing w:after="20"/>
              <w:jc w:val="center"/>
              <w:rPr>
                <w:rFonts w:ascii="Times New Roman" w:hAnsi="Times New Roman"/>
              </w:rPr>
            </w:pPr>
          </w:p>
          <w:p w14:paraId="618E4AD9" w14:textId="77777777" w:rsidR="00CA74E9" w:rsidRPr="004C4948" w:rsidRDefault="004C4948" w:rsidP="00625F4B">
            <w:pPr>
              <w:spacing w:after="20"/>
              <w:jc w:val="center"/>
              <w:rPr>
                <w:rFonts w:ascii="Times New Roman" w:hAnsi="Times New Roman"/>
              </w:rPr>
            </w:pPr>
            <w:r>
              <w:rPr>
                <w:rFonts w:ascii="Times New Roman" w:hAnsi="Times New Roman"/>
              </w:rPr>
              <w:t>75%</w:t>
            </w:r>
          </w:p>
        </w:tc>
        <w:tc>
          <w:tcPr>
            <w:tcW w:w="2635" w:type="dxa"/>
            <w:tcBorders>
              <w:top w:val="single" w:sz="4" w:space="0" w:color="auto"/>
            </w:tcBorders>
          </w:tcPr>
          <w:p w14:paraId="2ADA556E" w14:textId="77777777" w:rsidR="00F23A25" w:rsidRDefault="00F23A25" w:rsidP="00625F4B">
            <w:pPr>
              <w:spacing w:after="20"/>
              <w:jc w:val="center"/>
              <w:rPr>
                <w:rFonts w:ascii="Times New Roman" w:hAnsi="Times New Roman"/>
              </w:rPr>
            </w:pPr>
          </w:p>
          <w:p w14:paraId="150C1456" w14:textId="77777777" w:rsidR="00CA74E9" w:rsidRPr="004C4948" w:rsidRDefault="004C4948" w:rsidP="00625F4B">
            <w:pPr>
              <w:spacing w:after="20"/>
              <w:jc w:val="center"/>
              <w:rPr>
                <w:rFonts w:ascii="Times New Roman" w:hAnsi="Times New Roman"/>
              </w:rPr>
            </w:pPr>
            <w:r>
              <w:rPr>
                <w:rFonts w:ascii="Times New Roman" w:hAnsi="Times New Roman"/>
              </w:rPr>
              <w:t>75%</w:t>
            </w:r>
          </w:p>
        </w:tc>
        <w:tc>
          <w:tcPr>
            <w:tcW w:w="2298" w:type="dxa"/>
            <w:tcBorders>
              <w:top w:val="single" w:sz="4" w:space="0" w:color="auto"/>
            </w:tcBorders>
          </w:tcPr>
          <w:p w14:paraId="0B74E3A3" w14:textId="77777777" w:rsidR="00F23A25" w:rsidRDefault="00F23A25" w:rsidP="00625F4B">
            <w:pPr>
              <w:spacing w:after="20"/>
              <w:jc w:val="center"/>
              <w:rPr>
                <w:rFonts w:ascii="Times New Roman" w:hAnsi="Times New Roman"/>
              </w:rPr>
            </w:pPr>
          </w:p>
          <w:p w14:paraId="1E4DA721" w14:textId="77777777" w:rsidR="00CA74E9" w:rsidRPr="00B92373" w:rsidRDefault="00B92373" w:rsidP="00625F4B">
            <w:pPr>
              <w:spacing w:after="20"/>
              <w:jc w:val="center"/>
              <w:rPr>
                <w:rFonts w:ascii="Times New Roman" w:hAnsi="Times New Roman"/>
              </w:rPr>
            </w:pPr>
            <w:r>
              <w:rPr>
                <w:rFonts w:ascii="Times New Roman" w:hAnsi="Times New Roman"/>
              </w:rPr>
              <w:t>71%</w:t>
            </w:r>
          </w:p>
        </w:tc>
      </w:tr>
      <w:tr w:rsidR="00B92373" w14:paraId="14DD24B4" w14:textId="77777777" w:rsidTr="00B92373">
        <w:trPr>
          <w:trHeight w:val="629"/>
        </w:trPr>
        <w:tc>
          <w:tcPr>
            <w:tcW w:w="2514" w:type="dxa"/>
          </w:tcPr>
          <w:p w14:paraId="48768953" w14:textId="77777777" w:rsidR="00F23A25" w:rsidRDefault="00F23A25" w:rsidP="00625F4B">
            <w:pPr>
              <w:spacing w:after="20"/>
              <w:jc w:val="center"/>
              <w:rPr>
                <w:rFonts w:ascii="Times New Roman" w:hAnsi="Times New Roman"/>
                <w:b/>
                <w:szCs w:val="24"/>
              </w:rPr>
            </w:pPr>
          </w:p>
          <w:p w14:paraId="067F03D5" w14:textId="77777777" w:rsidR="00CA74E9" w:rsidRPr="00B92373" w:rsidRDefault="00CA74E9" w:rsidP="00625F4B">
            <w:pPr>
              <w:spacing w:after="20"/>
              <w:jc w:val="center"/>
              <w:rPr>
                <w:rFonts w:ascii="Times New Roman" w:hAnsi="Times New Roman"/>
                <w:b/>
                <w:szCs w:val="24"/>
              </w:rPr>
            </w:pPr>
            <w:r w:rsidRPr="00B92373">
              <w:rPr>
                <w:rFonts w:ascii="Times New Roman" w:hAnsi="Times New Roman"/>
                <w:b/>
                <w:szCs w:val="24"/>
              </w:rPr>
              <w:t>Výzkum a vývoj v % HDP</w:t>
            </w:r>
          </w:p>
        </w:tc>
        <w:tc>
          <w:tcPr>
            <w:tcW w:w="1752" w:type="dxa"/>
          </w:tcPr>
          <w:p w14:paraId="51C2AB37" w14:textId="77777777" w:rsidR="00F23A25" w:rsidRDefault="00F23A25" w:rsidP="00625F4B">
            <w:pPr>
              <w:spacing w:after="20"/>
              <w:jc w:val="center"/>
              <w:rPr>
                <w:rFonts w:ascii="Times New Roman" w:hAnsi="Times New Roman"/>
              </w:rPr>
            </w:pPr>
          </w:p>
          <w:p w14:paraId="342F3699" w14:textId="77777777" w:rsidR="00CA74E9" w:rsidRPr="004C4948" w:rsidRDefault="004C4948" w:rsidP="00625F4B">
            <w:pPr>
              <w:spacing w:after="20"/>
              <w:jc w:val="center"/>
              <w:rPr>
                <w:rFonts w:ascii="Times New Roman" w:hAnsi="Times New Roman"/>
              </w:rPr>
            </w:pPr>
            <w:r>
              <w:rPr>
                <w:rFonts w:ascii="Times New Roman" w:hAnsi="Times New Roman"/>
              </w:rPr>
              <w:t>3%</w:t>
            </w:r>
          </w:p>
        </w:tc>
        <w:tc>
          <w:tcPr>
            <w:tcW w:w="2635" w:type="dxa"/>
          </w:tcPr>
          <w:p w14:paraId="124E485A" w14:textId="77777777" w:rsidR="00F23A25" w:rsidRDefault="00F23A25" w:rsidP="00625F4B">
            <w:pPr>
              <w:spacing w:after="20"/>
              <w:jc w:val="center"/>
              <w:rPr>
                <w:rFonts w:ascii="Times New Roman" w:hAnsi="Times New Roman"/>
              </w:rPr>
            </w:pPr>
          </w:p>
          <w:p w14:paraId="603A6415" w14:textId="77777777" w:rsidR="00CA74E9" w:rsidRPr="004C4948" w:rsidRDefault="004C4948" w:rsidP="00625F4B">
            <w:pPr>
              <w:spacing w:after="20"/>
              <w:jc w:val="center"/>
              <w:rPr>
                <w:rFonts w:ascii="Times New Roman" w:hAnsi="Times New Roman"/>
              </w:rPr>
            </w:pPr>
            <w:r>
              <w:rPr>
                <w:rFonts w:ascii="Times New Roman" w:hAnsi="Times New Roman"/>
              </w:rPr>
              <w:t>1% (pouze veřejný sektor)</w:t>
            </w:r>
          </w:p>
        </w:tc>
        <w:tc>
          <w:tcPr>
            <w:tcW w:w="2298" w:type="dxa"/>
          </w:tcPr>
          <w:p w14:paraId="3B1E6D18" w14:textId="77777777" w:rsidR="00F23A25" w:rsidRDefault="00F23A25" w:rsidP="00625F4B">
            <w:pPr>
              <w:spacing w:after="20"/>
              <w:jc w:val="center"/>
              <w:rPr>
                <w:rFonts w:ascii="Times New Roman" w:hAnsi="Times New Roman"/>
              </w:rPr>
            </w:pPr>
          </w:p>
          <w:p w14:paraId="194C080A" w14:textId="77777777" w:rsidR="00CA74E9" w:rsidRPr="00B92373" w:rsidRDefault="00B92373" w:rsidP="00625F4B">
            <w:pPr>
              <w:spacing w:after="20"/>
              <w:jc w:val="center"/>
              <w:rPr>
                <w:rFonts w:ascii="Times New Roman" w:hAnsi="Times New Roman"/>
              </w:rPr>
            </w:pPr>
            <w:r>
              <w:rPr>
                <w:rFonts w:ascii="Times New Roman" w:hAnsi="Times New Roman"/>
              </w:rPr>
              <w:t>1,7%</w:t>
            </w:r>
          </w:p>
        </w:tc>
      </w:tr>
      <w:tr w:rsidR="00B92373" w14:paraId="0FC169A7" w14:textId="77777777" w:rsidTr="00F23A25">
        <w:trPr>
          <w:trHeight w:val="919"/>
        </w:trPr>
        <w:tc>
          <w:tcPr>
            <w:tcW w:w="2514" w:type="dxa"/>
          </w:tcPr>
          <w:p w14:paraId="02D5C24B" w14:textId="77777777" w:rsidR="00CA74E9" w:rsidRPr="00B92373" w:rsidRDefault="0003703C" w:rsidP="00625F4B">
            <w:pPr>
              <w:spacing w:after="20"/>
              <w:jc w:val="center"/>
              <w:rPr>
                <w:rFonts w:ascii="Times New Roman" w:hAnsi="Times New Roman"/>
                <w:b/>
                <w:szCs w:val="24"/>
              </w:rPr>
            </w:pPr>
            <w:r w:rsidRPr="00B92373">
              <w:rPr>
                <w:rFonts w:ascii="Times New Roman" w:hAnsi="Times New Roman"/>
                <w:b/>
                <w:szCs w:val="24"/>
              </w:rPr>
              <w:t xml:space="preserve">Snižování </w:t>
            </w:r>
            <w:r w:rsidR="00CA74E9" w:rsidRPr="00B92373">
              <w:rPr>
                <w:rFonts w:ascii="Times New Roman" w:hAnsi="Times New Roman"/>
                <w:b/>
                <w:szCs w:val="24"/>
              </w:rPr>
              <w:t>emisí CO</w:t>
            </w:r>
            <w:r w:rsidRPr="00B92373">
              <w:rPr>
                <w:rFonts w:ascii="Helvetica" w:hAnsi="Helvetica" w:cs="Helvetica"/>
                <w:b/>
                <w:color w:val="1C1C1C"/>
                <w:szCs w:val="24"/>
                <w:vertAlign w:val="subscript"/>
                <w:lang w:val="en-US"/>
              </w:rPr>
              <w:t>2</w:t>
            </w:r>
            <w:r w:rsidR="004C4948" w:rsidRPr="00B92373">
              <w:rPr>
                <w:rFonts w:ascii="Times New Roman" w:hAnsi="Times New Roman"/>
                <w:b/>
                <w:color w:val="1C1C1C"/>
                <w:szCs w:val="24"/>
                <w:vertAlign w:val="subscript"/>
                <w:lang w:val="en-US"/>
              </w:rPr>
              <w:t xml:space="preserve">  </w:t>
            </w:r>
            <w:r w:rsidR="004C4948" w:rsidRPr="00B92373">
              <w:rPr>
                <w:rFonts w:ascii="Times New Roman" w:hAnsi="Times New Roman"/>
                <w:b/>
                <w:szCs w:val="24"/>
              </w:rPr>
              <w:t>(ve srovnání s rokem 1990)</w:t>
            </w:r>
          </w:p>
        </w:tc>
        <w:tc>
          <w:tcPr>
            <w:tcW w:w="1752" w:type="dxa"/>
          </w:tcPr>
          <w:p w14:paraId="5D8B73DD" w14:textId="77777777" w:rsidR="00F23A25" w:rsidRDefault="00F23A25" w:rsidP="00625F4B">
            <w:pPr>
              <w:spacing w:after="20"/>
              <w:jc w:val="center"/>
              <w:rPr>
                <w:rFonts w:ascii="Times New Roman" w:hAnsi="Times New Roman"/>
              </w:rPr>
            </w:pPr>
          </w:p>
          <w:p w14:paraId="49E8BD1A" w14:textId="77777777" w:rsidR="00CA74E9" w:rsidRPr="004C4948" w:rsidRDefault="004C4948" w:rsidP="00625F4B">
            <w:pPr>
              <w:spacing w:after="20"/>
              <w:jc w:val="center"/>
              <w:rPr>
                <w:rFonts w:ascii="Times New Roman" w:hAnsi="Times New Roman"/>
              </w:rPr>
            </w:pPr>
            <w:r>
              <w:rPr>
                <w:rFonts w:ascii="Times New Roman" w:hAnsi="Times New Roman"/>
              </w:rPr>
              <w:t>-20%</w:t>
            </w:r>
          </w:p>
        </w:tc>
        <w:tc>
          <w:tcPr>
            <w:tcW w:w="2635" w:type="dxa"/>
          </w:tcPr>
          <w:p w14:paraId="00AB7ACC" w14:textId="77777777" w:rsidR="00F23A25" w:rsidRDefault="00F23A25" w:rsidP="00625F4B">
            <w:pPr>
              <w:spacing w:after="20"/>
              <w:jc w:val="center"/>
              <w:rPr>
                <w:rFonts w:ascii="Times New Roman" w:hAnsi="Times New Roman"/>
              </w:rPr>
            </w:pPr>
          </w:p>
          <w:p w14:paraId="4D928A3F" w14:textId="77777777" w:rsidR="00CA74E9" w:rsidRPr="004C4948" w:rsidRDefault="004C4948" w:rsidP="00625F4B">
            <w:pPr>
              <w:spacing w:after="20"/>
              <w:jc w:val="center"/>
              <w:rPr>
                <w:rFonts w:ascii="Times New Roman" w:hAnsi="Times New Roman"/>
              </w:rPr>
            </w:pPr>
            <w:r>
              <w:rPr>
                <w:rFonts w:ascii="Times New Roman" w:hAnsi="Times New Roman"/>
              </w:rPr>
              <w:t>9%</w:t>
            </w:r>
          </w:p>
        </w:tc>
        <w:tc>
          <w:tcPr>
            <w:tcW w:w="2298" w:type="dxa"/>
          </w:tcPr>
          <w:p w14:paraId="09CE7E30" w14:textId="77777777" w:rsidR="00F23A25" w:rsidRDefault="00F23A25" w:rsidP="00625F4B">
            <w:pPr>
              <w:spacing w:after="20"/>
              <w:jc w:val="center"/>
              <w:rPr>
                <w:rFonts w:ascii="Times New Roman" w:hAnsi="Times New Roman"/>
              </w:rPr>
            </w:pPr>
          </w:p>
          <w:p w14:paraId="51CBBA93" w14:textId="77777777" w:rsidR="00CA74E9" w:rsidRPr="00B92373" w:rsidRDefault="00B92373" w:rsidP="00625F4B">
            <w:pPr>
              <w:spacing w:after="20"/>
              <w:jc w:val="center"/>
              <w:rPr>
                <w:rFonts w:ascii="Times New Roman" w:hAnsi="Times New Roman"/>
              </w:rPr>
            </w:pPr>
            <w:r>
              <w:rPr>
                <w:rFonts w:ascii="Times New Roman" w:hAnsi="Times New Roman"/>
              </w:rPr>
              <w:t>14%</w:t>
            </w:r>
          </w:p>
        </w:tc>
      </w:tr>
      <w:tr w:rsidR="00B92373" w14:paraId="740BA84B" w14:textId="77777777" w:rsidTr="00F23A25">
        <w:trPr>
          <w:trHeight w:val="734"/>
        </w:trPr>
        <w:tc>
          <w:tcPr>
            <w:tcW w:w="2514" w:type="dxa"/>
          </w:tcPr>
          <w:p w14:paraId="09FEF3C1" w14:textId="77777777" w:rsidR="00CA74E9" w:rsidRPr="00B92373" w:rsidRDefault="0003703C" w:rsidP="00F23A25">
            <w:pPr>
              <w:spacing w:after="20"/>
              <w:rPr>
                <w:rFonts w:ascii="Times New Roman" w:hAnsi="Times New Roman"/>
                <w:b/>
                <w:szCs w:val="24"/>
              </w:rPr>
            </w:pPr>
            <w:r w:rsidRPr="00B92373">
              <w:rPr>
                <w:rFonts w:ascii="Times New Roman" w:hAnsi="Times New Roman"/>
                <w:b/>
                <w:szCs w:val="24"/>
              </w:rPr>
              <w:t>Obnovitelné zdroje energie</w:t>
            </w:r>
          </w:p>
        </w:tc>
        <w:tc>
          <w:tcPr>
            <w:tcW w:w="1752" w:type="dxa"/>
          </w:tcPr>
          <w:p w14:paraId="14D9DC8D" w14:textId="77777777" w:rsidR="00F23A25" w:rsidRDefault="00F23A25" w:rsidP="00625F4B">
            <w:pPr>
              <w:spacing w:after="20"/>
              <w:jc w:val="center"/>
              <w:rPr>
                <w:rFonts w:ascii="Times New Roman" w:hAnsi="Times New Roman"/>
              </w:rPr>
            </w:pPr>
          </w:p>
          <w:p w14:paraId="04EED1DC" w14:textId="77777777" w:rsidR="00CA74E9" w:rsidRPr="004C4948" w:rsidRDefault="004C4948" w:rsidP="00625F4B">
            <w:pPr>
              <w:spacing w:after="20"/>
              <w:jc w:val="center"/>
              <w:rPr>
                <w:rFonts w:ascii="Times New Roman" w:hAnsi="Times New Roman"/>
              </w:rPr>
            </w:pPr>
            <w:r>
              <w:rPr>
                <w:rFonts w:ascii="Times New Roman" w:hAnsi="Times New Roman"/>
              </w:rPr>
              <w:t>20%</w:t>
            </w:r>
          </w:p>
        </w:tc>
        <w:tc>
          <w:tcPr>
            <w:tcW w:w="2635" w:type="dxa"/>
          </w:tcPr>
          <w:p w14:paraId="58F5A715" w14:textId="77777777" w:rsidR="00F23A25" w:rsidRDefault="00F23A25" w:rsidP="00625F4B">
            <w:pPr>
              <w:spacing w:after="20"/>
              <w:jc w:val="center"/>
              <w:rPr>
                <w:rFonts w:ascii="Times New Roman" w:hAnsi="Times New Roman"/>
              </w:rPr>
            </w:pPr>
          </w:p>
          <w:p w14:paraId="6317B960" w14:textId="77777777" w:rsidR="00CA74E9" w:rsidRPr="004C4948" w:rsidRDefault="004C4948" w:rsidP="00625F4B">
            <w:pPr>
              <w:spacing w:after="20"/>
              <w:jc w:val="center"/>
              <w:rPr>
                <w:rFonts w:ascii="Times New Roman" w:hAnsi="Times New Roman"/>
              </w:rPr>
            </w:pPr>
            <w:r>
              <w:rPr>
                <w:rFonts w:ascii="Times New Roman" w:hAnsi="Times New Roman"/>
              </w:rPr>
              <w:t>13%</w:t>
            </w:r>
          </w:p>
        </w:tc>
        <w:tc>
          <w:tcPr>
            <w:tcW w:w="2298" w:type="dxa"/>
          </w:tcPr>
          <w:p w14:paraId="202F9588" w14:textId="77777777" w:rsidR="00F23A25" w:rsidRDefault="00F23A25" w:rsidP="00625F4B">
            <w:pPr>
              <w:spacing w:after="20"/>
              <w:jc w:val="center"/>
              <w:rPr>
                <w:rFonts w:ascii="Times New Roman" w:hAnsi="Times New Roman"/>
              </w:rPr>
            </w:pPr>
          </w:p>
          <w:p w14:paraId="5C884D55" w14:textId="77777777" w:rsidR="00CA74E9" w:rsidRPr="00B92373" w:rsidRDefault="00B92373" w:rsidP="00625F4B">
            <w:pPr>
              <w:spacing w:after="20"/>
              <w:jc w:val="center"/>
              <w:rPr>
                <w:rFonts w:ascii="Times New Roman" w:hAnsi="Times New Roman"/>
              </w:rPr>
            </w:pPr>
            <w:r>
              <w:rPr>
                <w:rFonts w:ascii="Times New Roman" w:hAnsi="Times New Roman"/>
              </w:rPr>
              <w:t>15,48%</w:t>
            </w:r>
          </w:p>
        </w:tc>
      </w:tr>
      <w:tr w:rsidR="00B92373" w14:paraId="5400A27E" w14:textId="77777777" w:rsidTr="00F23A25">
        <w:trPr>
          <w:trHeight w:val="786"/>
        </w:trPr>
        <w:tc>
          <w:tcPr>
            <w:tcW w:w="2514" w:type="dxa"/>
          </w:tcPr>
          <w:p w14:paraId="7E442D18" w14:textId="77777777" w:rsidR="00CA74E9" w:rsidRPr="00B92373" w:rsidRDefault="0003703C" w:rsidP="00F23A25">
            <w:pPr>
              <w:spacing w:after="20"/>
              <w:rPr>
                <w:rFonts w:ascii="Times New Roman" w:hAnsi="Times New Roman"/>
                <w:b/>
                <w:szCs w:val="24"/>
              </w:rPr>
            </w:pPr>
            <w:r w:rsidRPr="00B92373">
              <w:rPr>
                <w:rFonts w:ascii="Times New Roman" w:hAnsi="Times New Roman"/>
                <w:b/>
                <w:szCs w:val="24"/>
              </w:rPr>
              <w:t>Předčasné snížení školní docházky v %</w:t>
            </w:r>
          </w:p>
        </w:tc>
        <w:tc>
          <w:tcPr>
            <w:tcW w:w="1752" w:type="dxa"/>
          </w:tcPr>
          <w:p w14:paraId="1882E8A2" w14:textId="77777777" w:rsidR="00F23A25" w:rsidRDefault="00F23A25" w:rsidP="00625F4B">
            <w:pPr>
              <w:spacing w:after="20"/>
              <w:jc w:val="center"/>
              <w:rPr>
                <w:rFonts w:ascii="Times New Roman" w:hAnsi="Times New Roman"/>
              </w:rPr>
            </w:pPr>
          </w:p>
          <w:p w14:paraId="71234C84" w14:textId="77777777" w:rsidR="00CA74E9" w:rsidRPr="004C4948" w:rsidRDefault="004C4948" w:rsidP="00625F4B">
            <w:pPr>
              <w:spacing w:after="20"/>
              <w:jc w:val="center"/>
              <w:rPr>
                <w:rFonts w:ascii="Times New Roman" w:hAnsi="Times New Roman"/>
              </w:rPr>
            </w:pPr>
            <w:r>
              <w:rPr>
                <w:rFonts w:ascii="Times New Roman" w:hAnsi="Times New Roman"/>
              </w:rPr>
              <w:t>10%</w:t>
            </w:r>
          </w:p>
        </w:tc>
        <w:tc>
          <w:tcPr>
            <w:tcW w:w="2635" w:type="dxa"/>
          </w:tcPr>
          <w:p w14:paraId="723B5099" w14:textId="77777777" w:rsidR="00F23A25" w:rsidRDefault="00F23A25" w:rsidP="00625F4B">
            <w:pPr>
              <w:spacing w:after="20"/>
              <w:jc w:val="center"/>
              <w:rPr>
                <w:rFonts w:ascii="Times New Roman" w:hAnsi="Times New Roman"/>
              </w:rPr>
            </w:pPr>
          </w:p>
          <w:p w14:paraId="688FE61B" w14:textId="77777777" w:rsidR="00CA74E9" w:rsidRPr="004C4948" w:rsidRDefault="00B92373" w:rsidP="00625F4B">
            <w:pPr>
              <w:spacing w:after="20"/>
              <w:jc w:val="center"/>
              <w:rPr>
                <w:rFonts w:ascii="Times New Roman" w:hAnsi="Times New Roman"/>
              </w:rPr>
            </w:pPr>
            <w:r>
              <w:rPr>
                <w:rFonts w:ascii="Times New Roman" w:hAnsi="Times New Roman"/>
              </w:rPr>
              <w:t>5,5%</w:t>
            </w:r>
          </w:p>
        </w:tc>
        <w:tc>
          <w:tcPr>
            <w:tcW w:w="2298" w:type="dxa"/>
          </w:tcPr>
          <w:p w14:paraId="737B82A1" w14:textId="77777777" w:rsidR="00F23A25" w:rsidRDefault="00F23A25" w:rsidP="00625F4B">
            <w:pPr>
              <w:spacing w:after="20"/>
              <w:jc w:val="center"/>
              <w:rPr>
                <w:rFonts w:ascii="Times New Roman" w:hAnsi="Times New Roman"/>
              </w:rPr>
            </w:pPr>
          </w:p>
          <w:p w14:paraId="644F5F1C" w14:textId="77777777" w:rsidR="00CA74E9" w:rsidRPr="00B92373" w:rsidRDefault="00B92373" w:rsidP="00625F4B">
            <w:pPr>
              <w:spacing w:after="20"/>
              <w:jc w:val="center"/>
              <w:rPr>
                <w:rFonts w:ascii="Times New Roman" w:hAnsi="Times New Roman"/>
              </w:rPr>
            </w:pPr>
            <w:r>
              <w:rPr>
                <w:rFonts w:ascii="Times New Roman" w:hAnsi="Times New Roman"/>
              </w:rPr>
              <w:t>4,5%</w:t>
            </w:r>
          </w:p>
        </w:tc>
      </w:tr>
      <w:tr w:rsidR="00B92373" w14:paraId="0E73A0C0" w14:textId="77777777" w:rsidTr="00F23A25">
        <w:trPr>
          <w:trHeight w:val="724"/>
        </w:trPr>
        <w:tc>
          <w:tcPr>
            <w:tcW w:w="2514" w:type="dxa"/>
          </w:tcPr>
          <w:p w14:paraId="37669623" w14:textId="77777777" w:rsidR="00CA74E9" w:rsidRPr="00B92373" w:rsidRDefault="004C4948" w:rsidP="00F23A25">
            <w:pPr>
              <w:spacing w:after="20"/>
              <w:rPr>
                <w:rFonts w:ascii="Times New Roman" w:hAnsi="Times New Roman"/>
                <w:b/>
                <w:szCs w:val="24"/>
              </w:rPr>
            </w:pPr>
            <w:r w:rsidRPr="00B92373">
              <w:rPr>
                <w:rFonts w:ascii="Times New Roman" w:hAnsi="Times New Roman"/>
                <w:b/>
                <w:szCs w:val="24"/>
              </w:rPr>
              <w:t>Terciální vzdělání v %</w:t>
            </w:r>
          </w:p>
        </w:tc>
        <w:tc>
          <w:tcPr>
            <w:tcW w:w="1752" w:type="dxa"/>
          </w:tcPr>
          <w:p w14:paraId="759A98CC" w14:textId="77777777" w:rsidR="00F23A25" w:rsidRDefault="00F23A25" w:rsidP="00625F4B">
            <w:pPr>
              <w:spacing w:after="20"/>
              <w:jc w:val="center"/>
              <w:rPr>
                <w:rFonts w:ascii="Times New Roman" w:hAnsi="Times New Roman"/>
              </w:rPr>
            </w:pPr>
          </w:p>
          <w:p w14:paraId="46E4D361" w14:textId="77777777" w:rsidR="00CA74E9" w:rsidRPr="004C4948" w:rsidRDefault="004C4948" w:rsidP="00625F4B">
            <w:pPr>
              <w:spacing w:after="20"/>
              <w:jc w:val="center"/>
              <w:rPr>
                <w:rFonts w:ascii="Times New Roman" w:hAnsi="Times New Roman"/>
              </w:rPr>
            </w:pPr>
            <w:r>
              <w:rPr>
                <w:rFonts w:ascii="Times New Roman" w:hAnsi="Times New Roman"/>
              </w:rPr>
              <w:t>40%</w:t>
            </w:r>
          </w:p>
        </w:tc>
        <w:tc>
          <w:tcPr>
            <w:tcW w:w="2635" w:type="dxa"/>
          </w:tcPr>
          <w:p w14:paraId="538E0116" w14:textId="77777777" w:rsidR="00F23A25" w:rsidRDefault="00F23A25" w:rsidP="00625F4B">
            <w:pPr>
              <w:spacing w:after="20"/>
              <w:jc w:val="center"/>
              <w:rPr>
                <w:rFonts w:ascii="Times New Roman" w:hAnsi="Times New Roman"/>
              </w:rPr>
            </w:pPr>
          </w:p>
          <w:p w14:paraId="09CC8276" w14:textId="77777777" w:rsidR="00CA74E9" w:rsidRPr="004C4948" w:rsidRDefault="00B92373" w:rsidP="00625F4B">
            <w:pPr>
              <w:spacing w:after="20"/>
              <w:jc w:val="center"/>
              <w:rPr>
                <w:rFonts w:ascii="Times New Roman" w:hAnsi="Times New Roman"/>
              </w:rPr>
            </w:pPr>
            <w:r>
              <w:rPr>
                <w:rFonts w:ascii="Times New Roman" w:hAnsi="Times New Roman"/>
              </w:rPr>
              <w:t>32%</w:t>
            </w:r>
          </w:p>
        </w:tc>
        <w:tc>
          <w:tcPr>
            <w:tcW w:w="2298" w:type="dxa"/>
          </w:tcPr>
          <w:p w14:paraId="05B597B4" w14:textId="77777777" w:rsidR="00F23A25" w:rsidRDefault="00F23A25" w:rsidP="00625F4B">
            <w:pPr>
              <w:spacing w:after="20"/>
              <w:jc w:val="center"/>
              <w:rPr>
                <w:rFonts w:ascii="Times New Roman" w:hAnsi="Times New Roman"/>
              </w:rPr>
            </w:pPr>
          </w:p>
          <w:p w14:paraId="228975A9" w14:textId="77777777" w:rsidR="00CA74E9" w:rsidRPr="00B92373" w:rsidRDefault="00B92373" w:rsidP="00625F4B">
            <w:pPr>
              <w:spacing w:after="20"/>
              <w:jc w:val="center"/>
              <w:rPr>
                <w:rFonts w:ascii="Times New Roman" w:hAnsi="Times New Roman"/>
              </w:rPr>
            </w:pPr>
            <w:r>
              <w:rPr>
                <w:rFonts w:ascii="Times New Roman" w:hAnsi="Times New Roman"/>
              </w:rPr>
              <w:t>45%</w:t>
            </w:r>
          </w:p>
        </w:tc>
      </w:tr>
      <w:tr w:rsidR="00B92373" w14:paraId="3F8068A1" w14:textId="77777777" w:rsidTr="00B92373">
        <w:trPr>
          <w:trHeight w:val="1972"/>
        </w:trPr>
        <w:tc>
          <w:tcPr>
            <w:tcW w:w="2514" w:type="dxa"/>
          </w:tcPr>
          <w:p w14:paraId="04EA9CC0" w14:textId="77777777" w:rsidR="00F23A25" w:rsidRDefault="00F23A25" w:rsidP="00625F4B">
            <w:pPr>
              <w:spacing w:after="20"/>
              <w:jc w:val="center"/>
              <w:rPr>
                <w:rFonts w:ascii="Times New Roman" w:hAnsi="Times New Roman"/>
                <w:b/>
                <w:szCs w:val="24"/>
              </w:rPr>
            </w:pPr>
          </w:p>
          <w:p w14:paraId="378C31AA" w14:textId="77777777" w:rsidR="00F23A25" w:rsidRDefault="00F23A25" w:rsidP="00625F4B">
            <w:pPr>
              <w:spacing w:after="20"/>
              <w:jc w:val="center"/>
              <w:rPr>
                <w:rFonts w:ascii="Times New Roman" w:hAnsi="Times New Roman"/>
                <w:b/>
                <w:szCs w:val="24"/>
              </w:rPr>
            </w:pPr>
          </w:p>
          <w:p w14:paraId="185A1E47" w14:textId="77777777" w:rsidR="00CA74E9" w:rsidRPr="00B92373" w:rsidRDefault="004C4948" w:rsidP="00625F4B">
            <w:pPr>
              <w:spacing w:after="20"/>
              <w:jc w:val="center"/>
              <w:rPr>
                <w:rFonts w:ascii="Times New Roman" w:hAnsi="Times New Roman"/>
                <w:b/>
                <w:szCs w:val="24"/>
              </w:rPr>
            </w:pPr>
            <w:r w:rsidRPr="00B92373">
              <w:rPr>
                <w:rFonts w:ascii="Times New Roman" w:hAnsi="Times New Roman"/>
                <w:b/>
                <w:szCs w:val="24"/>
              </w:rPr>
              <w:t>Snížená počtu osob ohrožených chudobou či sociálním vyloučením</w:t>
            </w:r>
          </w:p>
        </w:tc>
        <w:tc>
          <w:tcPr>
            <w:tcW w:w="1752" w:type="dxa"/>
          </w:tcPr>
          <w:p w14:paraId="54484343" w14:textId="77777777" w:rsidR="00F23A25" w:rsidRDefault="00F23A25" w:rsidP="00625F4B">
            <w:pPr>
              <w:spacing w:after="20"/>
              <w:jc w:val="center"/>
              <w:rPr>
                <w:rFonts w:ascii="Times New Roman" w:hAnsi="Times New Roman"/>
              </w:rPr>
            </w:pPr>
          </w:p>
          <w:p w14:paraId="73494764" w14:textId="77777777" w:rsidR="00F23A25" w:rsidRDefault="00F23A25" w:rsidP="00625F4B">
            <w:pPr>
              <w:spacing w:after="20"/>
              <w:jc w:val="center"/>
              <w:rPr>
                <w:rFonts w:ascii="Times New Roman" w:hAnsi="Times New Roman"/>
              </w:rPr>
            </w:pPr>
          </w:p>
          <w:p w14:paraId="5D44B04D" w14:textId="77777777" w:rsidR="00F23A25" w:rsidRDefault="00F23A25" w:rsidP="00625F4B">
            <w:pPr>
              <w:spacing w:after="20"/>
              <w:jc w:val="center"/>
              <w:rPr>
                <w:rFonts w:ascii="Times New Roman" w:hAnsi="Times New Roman"/>
              </w:rPr>
            </w:pPr>
          </w:p>
          <w:p w14:paraId="2F2C663F" w14:textId="77777777" w:rsidR="00CA74E9" w:rsidRPr="004C4948" w:rsidRDefault="004C4948" w:rsidP="00625F4B">
            <w:pPr>
              <w:spacing w:after="20"/>
              <w:jc w:val="center"/>
              <w:rPr>
                <w:rFonts w:ascii="Times New Roman" w:hAnsi="Times New Roman"/>
              </w:rPr>
            </w:pPr>
            <w:r>
              <w:rPr>
                <w:rFonts w:ascii="Times New Roman" w:hAnsi="Times New Roman"/>
              </w:rPr>
              <w:t>20 000</w:t>
            </w:r>
          </w:p>
        </w:tc>
        <w:tc>
          <w:tcPr>
            <w:tcW w:w="2635" w:type="dxa"/>
          </w:tcPr>
          <w:p w14:paraId="555B446B" w14:textId="77777777" w:rsidR="004C4948" w:rsidRPr="004C4948" w:rsidRDefault="00F444E6" w:rsidP="00625F4B">
            <w:pPr>
              <w:spacing w:after="20"/>
              <w:jc w:val="center"/>
              <w:rPr>
                <w:rFonts w:ascii="Times New Roman" w:hAnsi="Times New Roman"/>
              </w:rPr>
            </w:pPr>
            <w:r>
              <w:rPr>
                <w:rFonts w:ascii="Times New Roman" w:hAnsi="Times New Roman"/>
              </w:rPr>
              <w:t>Zachovat počet osob ohrožených chudobou či sociálním vyloučení</w:t>
            </w:r>
            <w:r w:rsidR="004C4948" w:rsidRPr="004C4948">
              <w:rPr>
                <w:rFonts w:ascii="Times New Roman" w:hAnsi="Times New Roman"/>
              </w:rPr>
              <w:t xml:space="preserve">m na </w:t>
            </w:r>
            <w:r w:rsidR="009D3CD5" w:rsidRPr="004C4948">
              <w:rPr>
                <w:rFonts w:ascii="Times New Roman" w:hAnsi="Times New Roman"/>
              </w:rPr>
              <w:t>úrov</w:t>
            </w:r>
            <w:r w:rsidR="009D3CD5">
              <w:rPr>
                <w:rFonts w:ascii="Times New Roman" w:hAnsi="Times New Roman"/>
              </w:rPr>
              <w:t>ni</w:t>
            </w:r>
            <w:r>
              <w:rPr>
                <w:rFonts w:ascii="Times New Roman" w:hAnsi="Times New Roman"/>
              </w:rPr>
              <w:t xml:space="preserve"> z roku 2008 (15,3 % celkové populace) a usilovat o snížení jejich poč</w:t>
            </w:r>
            <w:r w:rsidR="004C4948" w:rsidRPr="004C4948">
              <w:rPr>
                <w:rFonts w:ascii="Times New Roman" w:hAnsi="Times New Roman"/>
              </w:rPr>
              <w:t>tu o 30 000</w:t>
            </w:r>
          </w:p>
          <w:p w14:paraId="295CAC4B" w14:textId="77777777" w:rsidR="00CA74E9" w:rsidRDefault="00CA74E9" w:rsidP="00625F4B">
            <w:pPr>
              <w:spacing w:after="20"/>
              <w:jc w:val="center"/>
            </w:pPr>
          </w:p>
        </w:tc>
        <w:tc>
          <w:tcPr>
            <w:tcW w:w="2298" w:type="dxa"/>
          </w:tcPr>
          <w:p w14:paraId="634A708B" w14:textId="77777777" w:rsidR="00F23A25" w:rsidRDefault="00B92373" w:rsidP="00625F4B">
            <w:pPr>
              <w:spacing w:after="20"/>
              <w:ind w:left="779" w:right="-958" w:hanging="779"/>
              <w:rPr>
                <w:rFonts w:ascii="Times New Roman" w:hAnsi="Times New Roman"/>
              </w:rPr>
            </w:pPr>
            <w:r>
              <w:rPr>
                <w:rFonts w:ascii="Times New Roman" w:hAnsi="Times New Roman"/>
              </w:rPr>
              <w:t xml:space="preserve">    </w:t>
            </w:r>
          </w:p>
          <w:p w14:paraId="39CC6049" w14:textId="77777777" w:rsidR="00F23A25" w:rsidRDefault="00F23A25" w:rsidP="00625F4B">
            <w:pPr>
              <w:spacing w:after="20"/>
              <w:ind w:left="779" w:right="-958" w:hanging="779"/>
              <w:rPr>
                <w:rFonts w:ascii="Times New Roman" w:hAnsi="Times New Roman"/>
              </w:rPr>
            </w:pPr>
          </w:p>
          <w:p w14:paraId="7096978D" w14:textId="77777777" w:rsidR="00F23A25" w:rsidRDefault="00F23A25" w:rsidP="00625F4B">
            <w:pPr>
              <w:spacing w:after="20"/>
              <w:ind w:left="779" w:right="-958" w:hanging="779"/>
              <w:rPr>
                <w:rFonts w:ascii="Times New Roman" w:hAnsi="Times New Roman"/>
              </w:rPr>
            </w:pPr>
          </w:p>
          <w:p w14:paraId="5C40DD8E" w14:textId="77777777" w:rsidR="00CA74E9" w:rsidRPr="00B92373" w:rsidRDefault="00F23A25" w:rsidP="00625F4B">
            <w:pPr>
              <w:spacing w:after="20"/>
              <w:ind w:left="779" w:right="-958" w:hanging="779"/>
              <w:rPr>
                <w:rFonts w:ascii="Times New Roman" w:hAnsi="Times New Roman"/>
              </w:rPr>
            </w:pPr>
            <w:r>
              <w:rPr>
                <w:rFonts w:ascii="Times New Roman" w:hAnsi="Times New Roman"/>
              </w:rPr>
              <w:t xml:space="preserve">      </w:t>
            </w:r>
            <w:r w:rsidR="00B92373">
              <w:rPr>
                <w:rFonts w:ascii="Times New Roman" w:hAnsi="Times New Roman"/>
              </w:rPr>
              <w:t xml:space="preserve">   1 500 000</w:t>
            </w:r>
          </w:p>
        </w:tc>
      </w:tr>
    </w:tbl>
    <w:p w14:paraId="3C3AAC60" w14:textId="77777777" w:rsidR="00D24DB6" w:rsidRPr="00F23A25" w:rsidRDefault="00D24DB6" w:rsidP="00625F4B">
      <w:pPr>
        <w:spacing w:after="20"/>
        <w:rPr>
          <w:rFonts w:eastAsia="Calibri"/>
          <w:sz w:val="22"/>
          <w:szCs w:val="22"/>
        </w:rPr>
      </w:pPr>
      <w:r w:rsidRPr="00F23A25">
        <w:rPr>
          <w:rFonts w:eastAsia="Calibri"/>
          <w:sz w:val="22"/>
          <w:szCs w:val="22"/>
        </w:rPr>
        <w:t>Zd</w:t>
      </w:r>
      <w:r w:rsidR="003D538A">
        <w:rPr>
          <w:rFonts w:eastAsia="Calibri"/>
          <w:sz w:val="22"/>
          <w:szCs w:val="22"/>
        </w:rPr>
        <w:t>roj: Europa 2020</w:t>
      </w:r>
      <w:r w:rsidR="00097FD1" w:rsidRPr="00F23A25">
        <w:rPr>
          <w:rFonts w:eastAsia="Calibri"/>
          <w:sz w:val="22"/>
          <w:szCs w:val="22"/>
        </w:rPr>
        <w:t xml:space="preserve"> (2014), vlastní ú</w:t>
      </w:r>
      <w:r w:rsidRPr="00F23A25">
        <w:rPr>
          <w:rFonts w:eastAsia="Calibri"/>
          <w:sz w:val="22"/>
          <w:szCs w:val="22"/>
        </w:rPr>
        <w:t>prava</w:t>
      </w:r>
    </w:p>
    <w:p w14:paraId="31F3A815" w14:textId="77777777" w:rsidR="00097FD1" w:rsidRDefault="00097FD1" w:rsidP="00625F4B">
      <w:pPr>
        <w:spacing w:after="20"/>
        <w:rPr>
          <w:rFonts w:eastAsia="Calibri"/>
          <w:szCs w:val="22"/>
        </w:rPr>
      </w:pPr>
    </w:p>
    <w:p w14:paraId="6B83F2DC" w14:textId="77777777" w:rsidR="00B92373" w:rsidRDefault="00B92373" w:rsidP="00625F4B">
      <w:pPr>
        <w:spacing w:after="20"/>
        <w:rPr>
          <w:rFonts w:eastAsia="Calibri"/>
          <w:szCs w:val="22"/>
        </w:rPr>
      </w:pPr>
      <w:r>
        <w:rPr>
          <w:rFonts w:eastAsia="Calibri"/>
          <w:szCs w:val="22"/>
        </w:rPr>
        <w:t>Z výše uvedeného vyplývá, že jsou cíle nastaveny velmi podobně v obou zemích. Rozdíl se objevuje v míře</w:t>
      </w:r>
      <w:r w:rsidR="00BE3ED3">
        <w:rPr>
          <w:rFonts w:eastAsia="Calibri"/>
          <w:szCs w:val="22"/>
        </w:rPr>
        <w:t xml:space="preserve"> zaměstnanosti, kterou si Polsko</w:t>
      </w:r>
      <w:r>
        <w:rPr>
          <w:rFonts w:eastAsia="Calibri"/>
          <w:szCs w:val="22"/>
        </w:rPr>
        <w:t xml:space="preserve"> nastavilo o 4% méně. </w:t>
      </w:r>
      <w:r w:rsidR="00BE3ED3">
        <w:rPr>
          <w:rFonts w:eastAsia="Calibri"/>
          <w:szCs w:val="22"/>
        </w:rPr>
        <w:t>Další rozdíl je v snižování emisí, kde má Polsko o 5% vyšší emise než ČR. Poslední více rozdílný ukazatel je</w:t>
      </w:r>
      <w:r w:rsidR="004855E1">
        <w:rPr>
          <w:rFonts w:eastAsia="Calibri"/>
          <w:szCs w:val="22"/>
        </w:rPr>
        <w:t xml:space="preserve"> u t</w:t>
      </w:r>
      <w:r w:rsidR="00BE3ED3">
        <w:rPr>
          <w:rFonts w:eastAsia="Calibri"/>
          <w:szCs w:val="22"/>
        </w:rPr>
        <w:t>erciální</w:t>
      </w:r>
      <w:r w:rsidR="004855E1">
        <w:rPr>
          <w:rFonts w:eastAsia="Calibri"/>
          <w:szCs w:val="22"/>
        </w:rPr>
        <w:t>ho</w:t>
      </w:r>
      <w:r w:rsidR="00BE3ED3">
        <w:rPr>
          <w:rFonts w:eastAsia="Calibri"/>
          <w:szCs w:val="22"/>
        </w:rPr>
        <w:t xml:space="preserve"> vzdělání, které má Polsko o 13% nastaveno víš než ČR. Ve srovnání s Evropskými cíli, ČR ani Polsko nijak extrémně nevybo</w:t>
      </w:r>
      <w:r w:rsidR="004855E1">
        <w:rPr>
          <w:rFonts w:eastAsia="Calibri"/>
          <w:szCs w:val="22"/>
        </w:rPr>
        <w:t>čují.  Větší rozdíl je pouze u s</w:t>
      </w:r>
      <w:r w:rsidR="00BE3ED3">
        <w:rPr>
          <w:rFonts w:eastAsia="Calibri"/>
          <w:szCs w:val="22"/>
        </w:rPr>
        <w:t>nižování emisí, kde je rozdíl v řádu 30%. U ostatních ukazatelů není další markantní vybočení.</w:t>
      </w:r>
      <w:r w:rsidR="004855E1">
        <w:rPr>
          <w:rFonts w:eastAsia="Calibri"/>
          <w:szCs w:val="22"/>
        </w:rPr>
        <w:t xml:space="preserve"> Polsko však překvapuje svými cíli, protože jsou ve většině nastaveny víš, než má nastaveno Česká republika. Otázkou zůstává, zda je Polsko schopno tyto cíle splnit nebo si laťku nastavilo příliš vysoko.</w:t>
      </w:r>
    </w:p>
    <w:p w14:paraId="4008DBD5" w14:textId="77777777" w:rsidR="00713BEC" w:rsidRPr="00BE739C" w:rsidRDefault="00BE3ED3" w:rsidP="00625F4B">
      <w:pPr>
        <w:pStyle w:val="Nadpis2"/>
        <w:spacing w:after="20"/>
      </w:pPr>
      <w:bookmarkStart w:id="20" w:name="_Toc281822796"/>
      <w:r>
        <w:t>Základní pojmy</w:t>
      </w:r>
      <w:bookmarkEnd w:id="20"/>
    </w:p>
    <w:p w14:paraId="2EE6423D" w14:textId="77777777" w:rsidR="00BE3ED3" w:rsidRDefault="00BE3ED3" w:rsidP="00625F4B">
      <w:pPr>
        <w:spacing w:after="20"/>
        <w:ind w:firstLine="708"/>
        <w:rPr>
          <w:szCs w:val="24"/>
        </w:rPr>
      </w:pPr>
    </w:p>
    <w:p w14:paraId="5287D90E" w14:textId="77777777" w:rsidR="00BE3ED3" w:rsidRDefault="00055861" w:rsidP="00625F4B">
      <w:pPr>
        <w:spacing w:after="20"/>
        <w:rPr>
          <w:szCs w:val="24"/>
        </w:rPr>
      </w:pPr>
      <w:r w:rsidRPr="00055861">
        <w:rPr>
          <w:b/>
          <w:szCs w:val="24"/>
          <w:u w:val="single"/>
        </w:rPr>
        <w:t>Nezaměstnanost</w:t>
      </w:r>
      <w:r w:rsidRPr="00055861">
        <w:rPr>
          <w:szCs w:val="24"/>
        </w:rPr>
        <w:t xml:space="preserve"> (Eurostat – Unemployment, 2014)</w:t>
      </w:r>
    </w:p>
    <w:p w14:paraId="409EBF15" w14:textId="77777777" w:rsidR="00055861" w:rsidRDefault="00055861" w:rsidP="004855E1">
      <w:pPr>
        <w:pStyle w:val="Odstavecseseznamem"/>
        <w:numPr>
          <w:ilvl w:val="0"/>
          <w:numId w:val="7"/>
        </w:numPr>
        <w:tabs>
          <w:tab w:val="left" w:pos="142"/>
        </w:tabs>
        <w:spacing w:after="20" w:afterAutospacing="0"/>
        <w:ind w:left="0" w:firstLine="0"/>
        <w:jc w:val="both"/>
      </w:pPr>
      <w:r w:rsidRPr="00055861">
        <w:t>osoba ve věku 15 až 74 let;</w:t>
      </w:r>
    </w:p>
    <w:p w14:paraId="25157008" w14:textId="77777777" w:rsidR="00055861" w:rsidRDefault="00055861" w:rsidP="004855E1">
      <w:pPr>
        <w:pStyle w:val="Odstavecseseznamem"/>
        <w:numPr>
          <w:ilvl w:val="0"/>
          <w:numId w:val="7"/>
        </w:numPr>
        <w:tabs>
          <w:tab w:val="left" w:pos="142"/>
        </w:tabs>
        <w:spacing w:after="20" w:afterAutospacing="0"/>
        <w:ind w:left="0" w:firstLine="0"/>
        <w:jc w:val="both"/>
      </w:pPr>
      <w:r>
        <w:t>bez práce během referenčního týdne,</w:t>
      </w:r>
    </w:p>
    <w:p w14:paraId="4277AFDC" w14:textId="77777777" w:rsidR="00055861" w:rsidRDefault="00055861" w:rsidP="004855E1">
      <w:pPr>
        <w:pStyle w:val="Odstavecseseznamem"/>
        <w:numPr>
          <w:ilvl w:val="0"/>
          <w:numId w:val="7"/>
        </w:numPr>
        <w:tabs>
          <w:tab w:val="left" w:pos="142"/>
        </w:tabs>
        <w:spacing w:after="20" w:afterAutospacing="0"/>
        <w:ind w:left="0" w:firstLine="0"/>
        <w:jc w:val="both"/>
      </w:pPr>
      <w:r>
        <w:t xml:space="preserve">k dispozici začít pracovat v následujících 14 dnech (nebo nastoupit do již nalezené </w:t>
      </w:r>
      <w:r w:rsidR="004855E1">
        <w:t xml:space="preserve">   </w:t>
      </w:r>
      <w:r>
        <w:t>práce během příštích 3 měsíců)</w:t>
      </w:r>
    </w:p>
    <w:p w14:paraId="04A2534E" w14:textId="77777777" w:rsidR="00366712" w:rsidRDefault="00366712" w:rsidP="004855E1">
      <w:pPr>
        <w:tabs>
          <w:tab w:val="left" w:pos="142"/>
        </w:tabs>
        <w:spacing w:after="20"/>
        <w:rPr>
          <w:szCs w:val="24"/>
        </w:rPr>
      </w:pPr>
    </w:p>
    <w:p w14:paraId="62629CA5" w14:textId="77777777" w:rsidR="00F23A25" w:rsidRDefault="00F23A25" w:rsidP="004855E1">
      <w:pPr>
        <w:tabs>
          <w:tab w:val="left" w:pos="142"/>
        </w:tabs>
        <w:spacing w:after="20"/>
      </w:pPr>
    </w:p>
    <w:p w14:paraId="7C204074" w14:textId="77777777" w:rsidR="00055861" w:rsidRDefault="00055861" w:rsidP="004855E1">
      <w:pPr>
        <w:tabs>
          <w:tab w:val="left" w:pos="142"/>
        </w:tabs>
        <w:spacing w:after="20"/>
      </w:pPr>
      <w:r w:rsidRPr="00D639A9">
        <w:rPr>
          <w:b/>
          <w:szCs w:val="24"/>
          <w:u w:val="single"/>
        </w:rPr>
        <w:t>Zaměstnanost</w:t>
      </w:r>
      <w:r>
        <w:t xml:space="preserve">: (Eurostat – Employment </w:t>
      </w:r>
      <w:r w:rsidR="009D3CD5">
        <w:t>rete</w:t>
      </w:r>
      <w:r>
        <w:t>, 2014)</w:t>
      </w:r>
    </w:p>
    <w:p w14:paraId="7C558C29" w14:textId="77777777" w:rsidR="00055861" w:rsidRDefault="004855E1" w:rsidP="004855E1">
      <w:pPr>
        <w:pStyle w:val="Odstavecseseznamem"/>
        <w:numPr>
          <w:ilvl w:val="0"/>
          <w:numId w:val="7"/>
        </w:numPr>
        <w:tabs>
          <w:tab w:val="left" w:pos="142"/>
        </w:tabs>
        <w:spacing w:after="20" w:afterAutospacing="0"/>
        <w:ind w:left="0" w:hanging="720"/>
        <w:jc w:val="both"/>
      </w:pPr>
      <w:r>
        <w:t xml:space="preserve">- </w:t>
      </w:r>
      <w:r w:rsidR="00055861">
        <w:t>počet lidí zapojených do produktivních aktivit v ekonomice;</w:t>
      </w:r>
    </w:p>
    <w:p w14:paraId="78EF01FE" w14:textId="77777777" w:rsidR="00055861" w:rsidRDefault="00D639A9" w:rsidP="004855E1">
      <w:pPr>
        <w:pStyle w:val="Odstavecseseznamem"/>
        <w:numPr>
          <w:ilvl w:val="0"/>
          <w:numId w:val="7"/>
        </w:numPr>
        <w:tabs>
          <w:tab w:val="left" w:pos="142"/>
        </w:tabs>
        <w:spacing w:after="20" w:afterAutospacing="0"/>
        <w:ind w:left="0" w:firstLine="0"/>
        <w:jc w:val="both"/>
      </w:pPr>
      <w:r>
        <w:t>osoby ve věku 20 až 64 let;</w:t>
      </w:r>
    </w:p>
    <w:p w14:paraId="042C6C48" w14:textId="77777777" w:rsidR="00D639A9" w:rsidRDefault="00D639A9" w:rsidP="004855E1">
      <w:pPr>
        <w:pStyle w:val="Odstavecseseznamem"/>
        <w:numPr>
          <w:ilvl w:val="0"/>
          <w:numId w:val="7"/>
        </w:numPr>
        <w:tabs>
          <w:tab w:val="left" w:pos="142"/>
        </w:tabs>
        <w:spacing w:after="20" w:afterAutospacing="0"/>
        <w:ind w:left="0" w:firstLine="0"/>
        <w:jc w:val="both"/>
      </w:pPr>
      <w:r>
        <w:t>zahrnuje zaměstnance i osoby samostatně výdělečně činné;</w:t>
      </w:r>
    </w:p>
    <w:p w14:paraId="3742B523" w14:textId="77777777" w:rsidR="00D639A9" w:rsidRDefault="00D639A9" w:rsidP="004855E1">
      <w:pPr>
        <w:pStyle w:val="Odstavecseseznamem"/>
        <w:numPr>
          <w:ilvl w:val="0"/>
          <w:numId w:val="7"/>
        </w:numPr>
        <w:tabs>
          <w:tab w:val="left" w:pos="142"/>
        </w:tabs>
        <w:spacing w:after="20" w:afterAutospacing="0"/>
        <w:ind w:left="0" w:firstLine="0"/>
        <w:jc w:val="both"/>
      </w:pPr>
      <w:r>
        <w:t>v porovnání se všemi obyvateli stejné věkové skupiny;</w:t>
      </w:r>
    </w:p>
    <w:p w14:paraId="152BD549" w14:textId="77777777" w:rsidR="00366712" w:rsidRDefault="00D639A9" w:rsidP="004855E1">
      <w:pPr>
        <w:pStyle w:val="Odstavecseseznamem"/>
        <w:numPr>
          <w:ilvl w:val="0"/>
          <w:numId w:val="7"/>
        </w:numPr>
        <w:tabs>
          <w:tab w:val="left" w:pos="142"/>
        </w:tabs>
        <w:spacing w:after="20" w:afterAutospacing="0"/>
        <w:ind w:left="0" w:firstLine="0"/>
        <w:jc w:val="both"/>
      </w:pPr>
      <w:r>
        <w:t xml:space="preserve">zaměstnané obyvatelstvo jsou osoby, které během referenčního týdne odvedly práci za </w:t>
      </w:r>
      <w:r w:rsidR="004855E1">
        <w:t xml:space="preserve">  </w:t>
      </w:r>
      <w:r>
        <w:t>mzdu nebo zisk a to po d</w:t>
      </w:r>
      <w:r w:rsidR="009D3CD5">
        <w:t>obu</w:t>
      </w:r>
      <w:r w:rsidR="004855E1">
        <w:t xml:space="preserve"> nejméně jedné hodiny (nebo byly</w:t>
      </w:r>
      <w:r>
        <w:t xml:space="preserve"> </w:t>
      </w:r>
      <w:r w:rsidR="009D3CD5">
        <w:t xml:space="preserve">v práci </w:t>
      </w:r>
      <w:r>
        <w:t>dočasně nepřítomni)</w:t>
      </w:r>
    </w:p>
    <w:p w14:paraId="4DA215A1" w14:textId="77777777" w:rsidR="004855E1" w:rsidRDefault="004855E1" w:rsidP="004855E1">
      <w:pPr>
        <w:pStyle w:val="Odstavecseseznamem"/>
        <w:tabs>
          <w:tab w:val="left" w:pos="142"/>
        </w:tabs>
        <w:spacing w:after="20" w:afterAutospacing="0"/>
        <w:jc w:val="both"/>
      </w:pPr>
    </w:p>
    <w:p w14:paraId="5E249F99" w14:textId="77777777" w:rsidR="00D639A9" w:rsidRDefault="00D639A9" w:rsidP="004855E1">
      <w:pPr>
        <w:tabs>
          <w:tab w:val="left" w:pos="142"/>
        </w:tabs>
        <w:spacing w:after="20"/>
      </w:pPr>
      <w:r w:rsidRPr="00D639A9">
        <w:rPr>
          <w:b/>
          <w:szCs w:val="24"/>
          <w:u w:val="single"/>
        </w:rPr>
        <w:t>Trh práce</w:t>
      </w:r>
      <w:r>
        <w:t xml:space="preserve"> (Eurostat – Labour market, 2014)</w:t>
      </w:r>
    </w:p>
    <w:p w14:paraId="3E0B8FD1" w14:textId="77777777" w:rsidR="00D639A9" w:rsidRDefault="00D639A9" w:rsidP="004855E1">
      <w:pPr>
        <w:pStyle w:val="Odstavecseseznamem"/>
        <w:numPr>
          <w:ilvl w:val="0"/>
          <w:numId w:val="7"/>
        </w:numPr>
        <w:tabs>
          <w:tab w:val="left" w:pos="142"/>
        </w:tabs>
        <w:spacing w:after="20" w:afterAutospacing="0"/>
        <w:ind w:left="0" w:firstLine="0"/>
        <w:jc w:val="both"/>
      </w:pPr>
      <w:r>
        <w:t>je skutečné nebo virální místo setkání;</w:t>
      </w:r>
    </w:p>
    <w:p w14:paraId="5C991998" w14:textId="77777777" w:rsidR="00D639A9" w:rsidRDefault="00D639A9" w:rsidP="004855E1">
      <w:pPr>
        <w:pStyle w:val="Odstavecseseznamem"/>
        <w:numPr>
          <w:ilvl w:val="0"/>
          <w:numId w:val="7"/>
        </w:numPr>
        <w:tabs>
          <w:tab w:val="left" w:pos="142"/>
        </w:tabs>
        <w:spacing w:after="20" w:afterAutospacing="0"/>
        <w:ind w:left="0" w:firstLine="0"/>
        <w:jc w:val="both"/>
      </w:pPr>
      <w:r>
        <w:t>kde lidí prodávají svoji práci (zaměstnanci), těm kteří ji nakupují (zaměstnavatelé)</w:t>
      </w:r>
    </w:p>
    <w:p w14:paraId="7877BFCC" w14:textId="77777777" w:rsidR="00D639A9" w:rsidRDefault="00D639A9" w:rsidP="00D12EBE">
      <w:pPr>
        <w:pStyle w:val="Odstavecseseznamem"/>
        <w:numPr>
          <w:ilvl w:val="0"/>
          <w:numId w:val="7"/>
        </w:numPr>
        <w:spacing w:after="20" w:afterAutospacing="0"/>
        <w:ind w:left="0" w:firstLine="0"/>
        <w:jc w:val="both"/>
      </w:pPr>
      <w:r>
        <w:t>trh práce poskytuje strukturu, skrz níž spolu zaměstnanci a zaměstnavatelé komunikují a vyjednávají pracovní podmínky a plat;</w:t>
      </w:r>
    </w:p>
    <w:p w14:paraId="2505DE50" w14:textId="77777777" w:rsidR="001168AF" w:rsidRDefault="00D639A9" w:rsidP="00D12EBE">
      <w:pPr>
        <w:pStyle w:val="Odstavecseseznamem"/>
        <w:numPr>
          <w:ilvl w:val="0"/>
          <w:numId w:val="7"/>
        </w:numPr>
        <w:spacing w:after="20" w:afterAutospacing="0"/>
        <w:ind w:left="0" w:firstLine="0"/>
        <w:jc w:val="both"/>
      </w:pPr>
      <w:r>
        <w:t>ostatními činiteli jsou instituce kolektivního vyjednávání, odborné organizace zaměstnanců a organizace zaměstnavatelů</w:t>
      </w:r>
    </w:p>
    <w:p w14:paraId="6D2E576F" w14:textId="77777777" w:rsidR="00366712" w:rsidRDefault="00366712" w:rsidP="00D12EBE">
      <w:pPr>
        <w:spacing w:after="20"/>
      </w:pPr>
    </w:p>
    <w:p w14:paraId="25DD3C41" w14:textId="77777777" w:rsidR="00366712" w:rsidRDefault="00366712" w:rsidP="00D12EBE">
      <w:pPr>
        <w:spacing w:after="20"/>
        <w:rPr>
          <w:szCs w:val="24"/>
        </w:rPr>
      </w:pPr>
      <w:r w:rsidRPr="00366712">
        <w:rPr>
          <w:b/>
          <w:szCs w:val="24"/>
          <w:u w:val="single"/>
        </w:rPr>
        <w:t>Inflace</w:t>
      </w:r>
      <w:r>
        <w:rPr>
          <w:szCs w:val="24"/>
        </w:rPr>
        <w:t xml:space="preserve"> (CNB, 2014)</w:t>
      </w:r>
    </w:p>
    <w:p w14:paraId="335D5810" w14:textId="77777777" w:rsidR="00366712" w:rsidRPr="00366712" w:rsidRDefault="00366712" w:rsidP="00D12EBE">
      <w:pPr>
        <w:pStyle w:val="Odstavecseseznamem"/>
        <w:numPr>
          <w:ilvl w:val="0"/>
          <w:numId w:val="7"/>
        </w:numPr>
        <w:spacing w:after="20" w:afterAutospacing="0"/>
        <w:ind w:left="0" w:firstLine="0"/>
        <w:jc w:val="both"/>
      </w:pPr>
      <w:r w:rsidRPr="00366712">
        <w:t xml:space="preserve">opakovaný růst většiny cen v dané ekonomice  </w:t>
      </w:r>
    </w:p>
    <w:p w14:paraId="1F083E79" w14:textId="77777777" w:rsidR="00366712" w:rsidRPr="00366712" w:rsidRDefault="00366712" w:rsidP="00D12EBE">
      <w:pPr>
        <w:pStyle w:val="Odstavecseseznamem"/>
        <w:numPr>
          <w:ilvl w:val="0"/>
          <w:numId w:val="7"/>
        </w:numPr>
        <w:spacing w:after="20" w:afterAutospacing="0"/>
        <w:ind w:left="0" w:firstLine="0"/>
        <w:jc w:val="both"/>
      </w:pPr>
      <w:r w:rsidRPr="001168AF">
        <w:t>oslabení reálné hodnoty (tj. kupní síly) dané měny vůči zboží a službám, které spotřebitel kupuje</w:t>
      </w:r>
    </w:p>
    <w:p w14:paraId="1A516793" w14:textId="77777777" w:rsidR="00366712" w:rsidRPr="00366712" w:rsidRDefault="00366712" w:rsidP="00D12EBE">
      <w:pPr>
        <w:pStyle w:val="Odstavecseseznamem"/>
        <w:numPr>
          <w:ilvl w:val="0"/>
          <w:numId w:val="7"/>
        </w:numPr>
        <w:spacing w:after="20" w:afterAutospacing="0"/>
        <w:ind w:left="0" w:firstLine="0"/>
        <w:jc w:val="both"/>
      </w:pPr>
      <w:r w:rsidRPr="001168AF">
        <w:t>je-li v ekonomice přítomna inflace spotřebitelských cen, pak na nákup téhož koše zboží a služeb spotřebitel potřebuje čím dál více jednotek měny dané země.</w:t>
      </w:r>
    </w:p>
    <w:p w14:paraId="3FFF2E0C" w14:textId="77777777" w:rsidR="00366712" w:rsidRPr="00366712" w:rsidRDefault="00366712" w:rsidP="00D12EBE">
      <w:pPr>
        <w:pStyle w:val="Odstavecseseznamem"/>
        <w:numPr>
          <w:ilvl w:val="0"/>
          <w:numId w:val="7"/>
        </w:numPr>
        <w:spacing w:after="20" w:afterAutospacing="0"/>
        <w:ind w:left="0" w:firstLine="0"/>
        <w:jc w:val="both"/>
      </w:pPr>
      <w:r w:rsidRPr="001168AF">
        <w:t>v praxi je inflace v oblasti spotřebitelských cen měřena jako přírůstek tzv. indexu spotřebitelských cen</w:t>
      </w:r>
    </w:p>
    <w:p w14:paraId="3B964C50" w14:textId="77777777" w:rsidR="00366712" w:rsidRPr="00366712" w:rsidRDefault="00366712" w:rsidP="00D12EBE">
      <w:pPr>
        <w:pStyle w:val="Odstavecseseznamem"/>
        <w:numPr>
          <w:ilvl w:val="0"/>
          <w:numId w:val="7"/>
        </w:numPr>
        <w:spacing w:after="20" w:afterAutospacing="0"/>
        <w:ind w:left="0" w:firstLine="0"/>
        <w:jc w:val="both"/>
      </w:pPr>
      <w:r w:rsidRPr="001168AF">
        <w:t>pokles infla</w:t>
      </w:r>
      <w:r w:rsidR="004639EC">
        <w:t>ce je označován jako dezinflace</w:t>
      </w:r>
    </w:p>
    <w:p w14:paraId="0FFA7D9F" w14:textId="77777777" w:rsidR="00366712" w:rsidRPr="00366712" w:rsidRDefault="00366712" w:rsidP="00D12EBE">
      <w:pPr>
        <w:pStyle w:val="Odstavecseseznamem"/>
        <w:numPr>
          <w:ilvl w:val="0"/>
          <w:numId w:val="7"/>
        </w:numPr>
        <w:spacing w:after="20" w:afterAutospacing="0"/>
        <w:ind w:left="0" w:firstLine="0"/>
        <w:jc w:val="both"/>
      </w:pPr>
      <w:r w:rsidRPr="001168AF">
        <w:t>pokud většina cen v ekonomice delší dobu klesá, hovoříme o deflaci</w:t>
      </w:r>
    </w:p>
    <w:p w14:paraId="17B1E719" w14:textId="77777777" w:rsidR="00366712" w:rsidRDefault="00366712" w:rsidP="00D12EBE">
      <w:pPr>
        <w:pStyle w:val="Odstavecseseznamem"/>
        <w:numPr>
          <w:ilvl w:val="0"/>
          <w:numId w:val="7"/>
        </w:numPr>
        <w:spacing w:after="20" w:afterAutospacing="0"/>
        <w:ind w:left="0" w:firstLine="0"/>
        <w:jc w:val="both"/>
      </w:pPr>
      <w:r w:rsidRPr="001168AF">
        <w:t xml:space="preserve">do roku 2002 byl inflační cíl </w:t>
      </w:r>
      <w:r w:rsidR="004639EC">
        <w:t xml:space="preserve">v České republice </w:t>
      </w:r>
      <w:r w:rsidRPr="001168AF">
        <w:t>stanoven v tzv. čisté inflaci</w:t>
      </w:r>
    </w:p>
    <w:p w14:paraId="1EFB759D" w14:textId="77777777" w:rsidR="001168AF" w:rsidRPr="00366712" w:rsidRDefault="001168AF" w:rsidP="00D12EBE">
      <w:pPr>
        <w:spacing w:after="20"/>
      </w:pPr>
    </w:p>
    <w:p w14:paraId="2FDBBF1C" w14:textId="77777777" w:rsidR="00366712" w:rsidRDefault="00366712" w:rsidP="00D12EBE">
      <w:pPr>
        <w:spacing w:after="20"/>
        <w:rPr>
          <w:szCs w:val="24"/>
        </w:rPr>
      </w:pPr>
      <w:r w:rsidRPr="00366712">
        <w:rPr>
          <w:b/>
          <w:szCs w:val="24"/>
          <w:u w:val="single"/>
        </w:rPr>
        <w:t>Parita kupní síly</w:t>
      </w:r>
      <w:r w:rsidR="00A94F9D">
        <w:rPr>
          <w:szCs w:val="24"/>
        </w:rPr>
        <w:t xml:space="preserve"> (CZSO</w:t>
      </w:r>
      <w:r>
        <w:rPr>
          <w:szCs w:val="24"/>
        </w:rPr>
        <w:t>, 2014)</w:t>
      </w:r>
    </w:p>
    <w:p w14:paraId="1C3F5C0E" w14:textId="77777777" w:rsidR="00A94F9D" w:rsidRPr="001168AF" w:rsidRDefault="00A94F9D" w:rsidP="004639EC">
      <w:pPr>
        <w:pStyle w:val="Odstavecseseznamem"/>
        <w:numPr>
          <w:ilvl w:val="0"/>
          <w:numId w:val="7"/>
        </w:numPr>
        <w:spacing w:after="20" w:afterAutospacing="0"/>
        <w:ind w:left="0" w:firstLine="0"/>
        <w:jc w:val="both"/>
      </w:pPr>
      <w:r w:rsidRPr="001168AF">
        <w:t xml:space="preserve">představuje poměr cen v národních měnách za stejné výrobky a služby v </w:t>
      </w:r>
      <w:r w:rsidR="004639EC">
        <w:t xml:space="preserve"> </w:t>
      </w:r>
      <w:r w:rsidRPr="001168AF">
        <w:t>různých zemích</w:t>
      </w:r>
    </w:p>
    <w:p w14:paraId="45BB587B" w14:textId="77777777" w:rsidR="00A94F9D" w:rsidRDefault="00A94F9D" w:rsidP="004639EC">
      <w:pPr>
        <w:pStyle w:val="Odstavecseseznamem"/>
        <w:numPr>
          <w:ilvl w:val="0"/>
          <w:numId w:val="7"/>
        </w:numPr>
        <w:spacing w:after="20" w:afterAutospacing="0"/>
        <w:ind w:left="0" w:firstLine="0"/>
        <w:jc w:val="both"/>
      </w:pPr>
      <w:r w:rsidRPr="001168AF">
        <w:t>konečné parity jsou výsledkem multilaterálního srovnání</w:t>
      </w:r>
    </w:p>
    <w:p w14:paraId="3F3E46E4" w14:textId="77777777" w:rsidR="001168AF" w:rsidRPr="001168AF" w:rsidRDefault="001168AF" w:rsidP="00D12EBE">
      <w:pPr>
        <w:pStyle w:val="Odstavecseseznamem"/>
        <w:spacing w:after="20" w:afterAutospacing="0"/>
        <w:ind w:left="720"/>
        <w:jc w:val="both"/>
      </w:pPr>
    </w:p>
    <w:p w14:paraId="53327B5C" w14:textId="77777777" w:rsidR="001168AF" w:rsidRPr="001168AF" w:rsidRDefault="001168AF" w:rsidP="00D12EBE">
      <w:pPr>
        <w:spacing w:after="20"/>
        <w:rPr>
          <w:b/>
          <w:szCs w:val="24"/>
          <w:u w:val="single"/>
        </w:rPr>
      </w:pPr>
      <w:r w:rsidRPr="001168AF">
        <w:rPr>
          <w:b/>
          <w:szCs w:val="24"/>
          <w:u w:val="single"/>
        </w:rPr>
        <w:t>Evrops</w:t>
      </w:r>
      <w:r>
        <w:rPr>
          <w:b/>
          <w:szCs w:val="24"/>
          <w:u w:val="single"/>
        </w:rPr>
        <w:t>ká unie</w:t>
      </w:r>
      <w:r>
        <w:rPr>
          <w:szCs w:val="24"/>
        </w:rPr>
        <w:t xml:space="preserve"> </w:t>
      </w:r>
      <w:r w:rsidR="0026204A">
        <w:rPr>
          <w:color w:val="212121"/>
          <w:szCs w:val="24"/>
          <w:shd w:val="clear" w:color="auto" w:fill="FFFFFF"/>
        </w:rPr>
        <w:t>(Europa.eu, 20</w:t>
      </w:r>
      <w:r>
        <w:rPr>
          <w:color w:val="212121"/>
          <w:szCs w:val="24"/>
          <w:shd w:val="clear" w:color="auto" w:fill="FFFFFF"/>
        </w:rPr>
        <w:t>14</w:t>
      </w:r>
      <w:r w:rsidRPr="001168AF">
        <w:rPr>
          <w:color w:val="212121"/>
          <w:szCs w:val="24"/>
          <w:shd w:val="clear" w:color="auto" w:fill="FFFFFF"/>
        </w:rPr>
        <w:t>)</w:t>
      </w:r>
    </w:p>
    <w:p w14:paraId="52B34CCA" w14:textId="77777777" w:rsidR="001168AF" w:rsidRDefault="00E80E5D" w:rsidP="00D12EBE">
      <w:pPr>
        <w:pStyle w:val="Odstavecseseznamem"/>
        <w:numPr>
          <w:ilvl w:val="0"/>
          <w:numId w:val="7"/>
        </w:numPr>
        <w:spacing w:after="20" w:afterAutospacing="0"/>
        <w:jc w:val="both"/>
      </w:pPr>
      <w:r>
        <w:t>EU je hospodářské a politické společ</w:t>
      </w:r>
      <w:r w:rsidR="00F23A25">
        <w:t>enství 28</w:t>
      </w:r>
      <w:r w:rsidR="001168AF" w:rsidRPr="001168AF">
        <w:t xml:space="preserve"> evropských zemí</w:t>
      </w:r>
    </w:p>
    <w:p w14:paraId="4395CF74" w14:textId="77777777" w:rsidR="001168AF" w:rsidRPr="001168AF" w:rsidRDefault="00E80E5D" w:rsidP="00D12EBE">
      <w:pPr>
        <w:pStyle w:val="Odstavecseseznamem"/>
        <w:numPr>
          <w:ilvl w:val="0"/>
          <w:numId w:val="7"/>
        </w:numPr>
        <w:spacing w:after="20" w:afterAutospacing="0"/>
        <w:jc w:val="both"/>
      </w:pPr>
      <w:r>
        <w:t>tyto země mají společ</w:t>
      </w:r>
      <w:r w:rsidR="001168AF" w:rsidRPr="001168AF">
        <w:t>ný trh, díky jemuž je umožn</w:t>
      </w:r>
      <w:r>
        <w:t>ě</w:t>
      </w:r>
      <w:r w:rsidR="001168AF" w:rsidRPr="001168AF">
        <w:t>n volný pohyb zboží, služeb, lidí a kapitálu</w:t>
      </w:r>
    </w:p>
    <w:p w14:paraId="65446875" w14:textId="77777777" w:rsidR="001168AF" w:rsidRDefault="001168AF" w:rsidP="00625F4B">
      <w:pPr>
        <w:pStyle w:val="Odstavecseseznamem"/>
        <w:numPr>
          <w:ilvl w:val="0"/>
          <w:numId w:val="7"/>
        </w:numPr>
        <w:spacing w:after="20" w:afterAutospacing="0"/>
        <w:jc w:val="both"/>
      </w:pPr>
      <w:r w:rsidRPr="001168AF">
        <w:t xml:space="preserve">hlavními </w:t>
      </w:r>
      <w:r w:rsidR="009D3CD5" w:rsidRPr="001168AF">
        <w:t>cíli</w:t>
      </w:r>
      <w:r w:rsidRPr="001168AF">
        <w:t xml:space="preserve"> jsou - podpora a dodr</w:t>
      </w:r>
      <w:r w:rsidR="00E80E5D">
        <w:t>žování lidských práv, lidská dů</w:t>
      </w:r>
      <w:r w:rsidRPr="001168AF">
        <w:t>stojnost, svoboda, demokracie, též rovnost, které byl</w:t>
      </w:r>
      <w:r w:rsidR="00E80E5D">
        <w:t>y v roce 2009 sepsány v Listině</w:t>
      </w:r>
      <w:r w:rsidRPr="001168AF">
        <w:t xml:space="preserve"> základních práv Evropské unie. </w:t>
      </w:r>
    </w:p>
    <w:p w14:paraId="0C68501C" w14:textId="77777777" w:rsidR="00F23A25" w:rsidRDefault="00F23A25" w:rsidP="00F23A25">
      <w:pPr>
        <w:pStyle w:val="Odstavecseseznamem"/>
        <w:numPr>
          <w:ilvl w:val="0"/>
          <w:numId w:val="7"/>
        </w:numPr>
        <w:spacing w:after="20" w:afterAutospacing="0"/>
        <w:jc w:val="both"/>
      </w:pPr>
      <w:r>
        <w:t>sídlo: Brusel</w:t>
      </w:r>
    </w:p>
    <w:p w14:paraId="18D60277" w14:textId="77777777" w:rsidR="00F23A25" w:rsidRDefault="00F23A25" w:rsidP="00F23A25">
      <w:pPr>
        <w:pStyle w:val="Odstavecseseznamem"/>
        <w:numPr>
          <w:ilvl w:val="0"/>
          <w:numId w:val="7"/>
        </w:numPr>
        <w:spacing w:after="20" w:afterAutospacing="0"/>
        <w:jc w:val="both"/>
      </w:pPr>
      <w:r>
        <w:t>měna: EURO</w:t>
      </w:r>
    </w:p>
    <w:p w14:paraId="65293CDC" w14:textId="77777777" w:rsidR="00F23A25" w:rsidRDefault="00F23A25" w:rsidP="00F23A25">
      <w:pPr>
        <w:pStyle w:val="Odstavecseseznamem"/>
        <w:numPr>
          <w:ilvl w:val="0"/>
          <w:numId w:val="7"/>
        </w:numPr>
        <w:spacing w:after="20" w:afterAutospacing="0"/>
        <w:jc w:val="both"/>
      </w:pPr>
      <w:r>
        <w:t xml:space="preserve">předseda: </w:t>
      </w:r>
      <w:r w:rsidRPr="00F23A25">
        <w:t xml:space="preserve">Jean-Claude </w:t>
      </w:r>
      <w:proofErr w:type="spellStart"/>
      <w:r w:rsidRPr="00F23A25">
        <w:t>Juncker</w:t>
      </w:r>
      <w:proofErr w:type="spellEnd"/>
    </w:p>
    <w:p w14:paraId="7A10B583" w14:textId="77777777" w:rsidR="00F23A25" w:rsidRDefault="00F23A25" w:rsidP="00625F4B">
      <w:pPr>
        <w:pStyle w:val="Odstavecseseznamem"/>
        <w:numPr>
          <w:ilvl w:val="0"/>
          <w:numId w:val="7"/>
        </w:numPr>
        <w:spacing w:after="20" w:afterAutospacing="0"/>
        <w:jc w:val="both"/>
      </w:pPr>
      <w:r>
        <w:t>m</w:t>
      </w:r>
      <w:r w:rsidRPr="00F23A25">
        <w:t>otto: „Jednotná v rozmanitosti“</w:t>
      </w:r>
    </w:p>
    <w:p w14:paraId="6E104A83" w14:textId="77777777" w:rsidR="00F23A25" w:rsidRDefault="00F23A25" w:rsidP="00F23A25">
      <w:pPr>
        <w:spacing w:after="20"/>
        <w:ind w:left="360"/>
        <w:rPr>
          <w:szCs w:val="24"/>
        </w:rPr>
      </w:pPr>
    </w:p>
    <w:p w14:paraId="02078166" w14:textId="77777777" w:rsidR="002D42D6" w:rsidRPr="003E4795" w:rsidRDefault="004639EC" w:rsidP="00F23A25">
      <w:pPr>
        <w:spacing w:after="20"/>
        <w:ind w:left="360"/>
      </w:pPr>
      <w:r>
        <w:rPr>
          <w:szCs w:val="24"/>
        </w:rPr>
        <w:t>Žák (</w:t>
      </w:r>
      <w:r w:rsidR="001168AF" w:rsidRPr="001168AF">
        <w:t>2007, s. 140) uvádí</w:t>
      </w:r>
      <w:r w:rsidR="00E80E5D">
        <w:t>, že: „Založení Evropské unie př</w:t>
      </w:r>
      <w:r w:rsidR="001168AF" w:rsidRPr="001168AF">
        <w:t>edcház</w:t>
      </w:r>
      <w:r w:rsidR="00971B33">
        <w:t>el vznik tří</w:t>
      </w:r>
      <w:r w:rsidR="00E80E5D">
        <w:t xml:space="preserve"> Evropských společ</w:t>
      </w:r>
      <w:r w:rsidR="001168AF" w:rsidRPr="001168AF">
        <w:t>enstv</w:t>
      </w:r>
      <w:r w:rsidR="00E80E5D">
        <w:t>í, kterými byly Evropské společ</w:t>
      </w:r>
      <w:r w:rsidR="001168AF" w:rsidRPr="001168AF">
        <w:t xml:space="preserve">enství </w:t>
      </w:r>
      <w:r w:rsidR="00E80E5D">
        <w:t>uhlí a oceli, Evropské hospodářské společ</w:t>
      </w:r>
      <w:r w:rsidR="001168AF" w:rsidRPr="001168AF">
        <w:t>enst</w:t>
      </w:r>
      <w:r w:rsidR="00E80E5D">
        <w:t>ví a Evropské společ</w:t>
      </w:r>
      <w:r w:rsidR="001168AF" w:rsidRPr="001168AF">
        <w:t xml:space="preserve">enství pro atomovou energii.” </w:t>
      </w:r>
    </w:p>
    <w:p w14:paraId="74FBD8A1" w14:textId="77777777" w:rsidR="00A94F9D" w:rsidRDefault="00A94F9D" w:rsidP="00625F4B">
      <w:pPr>
        <w:spacing w:after="20"/>
      </w:pPr>
    </w:p>
    <w:p w14:paraId="7CB289A1" w14:textId="77777777" w:rsidR="00F23A25" w:rsidRDefault="00F23A25" w:rsidP="00625F4B">
      <w:pPr>
        <w:spacing w:after="20"/>
      </w:pPr>
    </w:p>
    <w:p w14:paraId="54A83287" w14:textId="77777777" w:rsidR="00F23A25" w:rsidRDefault="00F23A25" w:rsidP="00625F4B">
      <w:pPr>
        <w:spacing w:after="20"/>
      </w:pPr>
    </w:p>
    <w:p w14:paraId="53A7390A" w14:textId="77777777" w:rsidR="00CF2408" w:rsidRDefault="00CF2408" w:rsidP="00625F4B">
      <w:pPr>
        <w:pStyle w:val="Nadpis1"/>
        <w:spacing w:after="20"/>
      </w:pPr>
      <w:bookmarkStart w:id="21" w:name="_Toc281822797"/>
      <w:r>
        <w:t>Praktická část seminární práce</w:t>
      </w:r>
      <w:bookmarkEnd w:id="21"/>
    </w:p>
    <w:p w14:paraId="514416DD" w14:textId="77777777" w:rsidR="00357421" w:rsidRDefault="00357421" w:rsidP="00625F4B">
      <w:pPr>
        <w:pStyle w:val="Nadpis2"/>
        <w:spacing w:after="20"/>
      </w:pPr>
      <w:bookmarkStart w:id="22" w:name="_Toc281822798"/>
      <w:r>
        <w:t>Srovnání ČR a PL v základních makroekonomických ukazatelích</w:t>
      </w:r>
      <w:bookmarkEnd w:id="22"/>
    </w:p>
    <w:p w14:paraId="3C2DFB25" w14:textId="77777777" w:rsidR="000D2B4A" w:rsidRDefault="00BA1D66" w:rsidP="00BA1D66">
      <w:pPr>
        <w:spacing w:after="20"/>
      </w:pPr>
      <w:r>
        <w:t>Srovnání obou zemí v těchto ukazatelích</w:t>
      </w:r>
      <w:r w:rsidR="00357421">
        <w:t xml:space="preserve">: </w:t>
      </w:r>
    </w:p>
    <w:p w14:paraId="4B0892A2" w14:textId="77777777" w:rsidR="000D2B4A" w:rsidRDefault="000D2B4A" w:rsidP="00BA1D66">
      <w:pPr>
        <w:pStyle w:val="Odstavecseseznamem"/>
        <w:numPr>
          <w:ilvl w:val="0"/>
          <w:numId w:val="7"/>
        </w:numPr>
        <w:spacing w:after="20" w:afterAutospacing="0"/>
        <w:jc w:val="both"/>
      </w:pPr>
      <w:r w:rsidRPr="000D2B4A">
        <w:t>Hru</w:t>
      </w:r>
      <w:r w:rsidR="008F3364">
        <w:t>bý domácí produkt</w:t>
      </w:r>
    </w:p>
    <w:p w14:paraId="22EE22AD" w14:textId="77777777" w:rsidR="000D2B4A" w:rsidRDefault="000D2B4A" w:rsidP="00BA1D66">
      <w:pPr>
        <w:pStyle w:val="Odstavecseseznamem"/>
        <w:numPr>
          <w:ilvl w:val="0"/>
          <w:numId w:val="7"/>
        </w:numPr>
        <w:spacing w:after="20" w:afterAutospacing="0"/>
        <w:jc w:val="both"/>
      </w:pPr>
      <w:r w:rsidRPr="000D2B4A">
        <w:t>Míra inflace</w:t>
      </w:r>
    </w:p>
    <w:p w14:paraId="24B507D0" w14:textId="77777777" w:rsidR="00D516CB" w:rsidRDefault="000D2B4A" w:rsidP="00BA1D66">
      <w:pPr>
        <w:pStyle w:val="Odstavecseseznamem"/>
        <w:numPr>
          <w:ilvl w:val="0"/>
          <w:numId w:val="7"/>
        </w:numPr>
        <w:spacing w:after="20" w:afterAutospacing="0"/>
        <w:jc w:val="both"/>
      </w:pPr>
      <w:r w:rsidRPr="000D2B4A">
        <w:t>Obecná míra nezaměstnanosti</w:t>
      </w:r>
      <w:r w:rsidR="00FB0773">
        <w:t xml:space="preserve"> a zaměstnanosti</w:t>
      </w:r>
    </w:p>
    <w:p w14:paraId="4FF97C8B" w14:textId="77777777" w:rsidR="00BA1D66" w:rsidRDefault="00BA1D66" w:rsidP="00BA1D66">
      <w:pPr>
        <w:spacing w:after="20"/>
        <w:ind w:left="360"/>
      </w:pPr>
    </w:p>
    <w:p w14:paraId="312BD35D" w14:textId="77777777" w:rsidR="00CF2408" w:rsidRPr="00865B7A" w:rsidRDefault="00D639A9" w:rsidP="00625F4B">
      <w:pPr>
        <w:spacing w:after="20"/>
      </w:pPr>
      <w:r w:rsidRPr="00865B7A">
        <w:rPr>
          <w:b/>
          <w:u w:val="single"/>
        </w:rPr>
        <w:t>H</w:t>
      </w:r>
      <w:r w:rsidR="00590A91" w:rsidRPr="00865B7A">
        <w:rPr>
          <w:b/>
          <w:u w:val="single"/>
        </w:rPr>
        <w:t>rubý domácí produkt</w:t>
      </w:r>
    </w:p>
    <w:p w14:paraId="79585BB7" w14:textId="77777777" w:rsidR="00CF2408" w:rsidRPr="00CF2408" w:rsidRDefault="000D2B4A" w:rsidP="00625F4B">
      <w:pPr>
        <w:spacing w:after="20"/>
      </w:pPr>
      <w:r>
        <w:t>N</w:t>
      </w:r>
      <w:r w:rsidR="009C46F1">
        <w:t>eboli h</w:t>
      </w:r>
      <w:r w:rsidR="00CF2408" w:rsidRPr="00CF2408">
        <w:t>rubý domácí produkt nebo také GDP neboli Gross Domestic Product</w:t>
      </w:r>
      <w:r>
        <w:t>. J</w:t>
      </w:r>
      <w:r w:rsidR="00CF2408" w:rsidRPr="00CF2408">
        <w:t>e tržní hodnota veškerých finálních statků a služeb vyprodukovaných v dané ekonomice za dané časové období</w:t>
      </w:r>
      <w:r w:rsidR="00CF2408" w:rsidRPr="00BE739C">
        <w:t>.</w:t>
      </w:r>
      <w:r>
        <w:t xml:space="preserve"> </w:t>
      </w:r>
      <w:r w:rsidR="00CF2408" w:rsidRPr="00CF2408">
        <w:t>HDP je snad nejsledovanějším makroekonomickým ukazatelem</w:t>
      </w:r>
      <w:r>
        <w:t xml:space="preserve">. </w:t>
      </w:r>
      <w:r>
        <w:rPr>
          <w:szCs w:val="24"/>
        </w:rPr>
        <w:t>(Pavelka, 2010, s.18)</w:t>
      </w:r>
    </w:p>
    <w:p w14:paraId="4DC37FE1" w14:textId="77777777" w:rsidR="00713BEC" w:rsidRPr="00BE739C" w:rsidRDefault="00713BEC" w:rsidP="00625F4B">
      <w:pPr>
        <w:spacing w:after="20"/>
        <w:rPr>
          <w:szCs w:val="24"/>
        </w:rPr>
      </w:pPr>
      <w:r w:rsidRPr="00BE739C">
        <w:rPr>
          <w:szCs w:val="24"/>
        </w:rPr>
        <w:t>HDP je měřítkem ekonomické aktivity</w:t>
      </w:r>
      <w:r>
        <w:rPr>
          <w:szCs w:val="24"/>
        </w:rPr>
        <w:t xml:space="preserve"> a</w:t>
      </w:r>
      <w:r w:rsidRPr="00BE739C">
        <w:rPr>
          <w:szCs w:val="24"/>
        </w:rPr>
        <w:t xml:space="preserve"> dá </w:t>
      </w:r>
      <w:r>
        <w:rPr>
          <w:szCs w:val="24"/>
        </w:rPr>
        <w:t xml:space="preserve">se </w:t>
      </w:r>
      <w:r w:rsidRPr="00BE739C">
        <w:rPr>
          <w:szCs w:val="24"/>
        </w:rPr>
        <w:t>vypočítat třemi různými způsoby a těmi jsou:</w:t>
      </w:r>
    </w:p>
    <w:p w14:paraId="600DB314" w14:textId="77777777" w:rsidR="00713BEC" w:rsidRPr="00BE739C" w:rsidRDefault="00713BEC" w:rsidP="00625F4B">
      <w:pPr>
        <w:spacing w:after="20"/>
        <w:rPr>
          <w:szCs w:val="24"/>
        </w:rPr>
      </w:pPr>
      <w:r w:rsidRPr="00CF2408">
        <w:rPr>
          <w:i/>
          <w:szCs w:val="24"/>
        </w:rPr>
        <w:t>Výdajová metoda</w:t>
      </w:r>
      <w:r w:rsidRPr="00BE739C">
        <w:rPr>
          <w:szCs w:val="24"/>
        </w:rPr>
        <w:t xml:space="preserve"> – sečtení všech vynaložených výdajů na finální služby a statky</w:t>
      </w:r>
    </w:p>
    <w:p w14:paraId="089BE607" w14:textId="77777777" w:rsidR="00713BEC" w:rsidRPr="00BE739C" w:rsidRDefault="00713BEC" w:rsidP="00625F4B">
      <w:pPr>
        <w:spacing w:after="20"/>
        <w:rPr>
          <w:szCs w:val="24"/>
        </w:rPr>
      </w:pPr>
      <w:r w:rsidRPr="00CF2408">
        <w:rPr>
          <w:i/>
          <w:szCs w:val="24"/>
        </w:rPr>
        <w:t>Výrobní metoda</w:t>
      </w:r>
      <w:r w:rsidRPr="00BE739C">
        <w:rPr>
          <w:szCs w:val="24"/>
        </w:rPr>
        <w:t xml:space="preserve"> – sečtení přidaných hodnot ve všech odvětvích ekonomiky</w:t>
      </w:r>
    </w:p>
    <w:p w14:paraId="5FD45343" w14:textId="77777777" w:rsidR="00713BEC" w:rsidRDefault="00713BEC" w:rsidP="00625F4B">
      <w:pPr>
        <w:spacing w:after="20"/>
        <w:rPr>
          <w:szCs w:val="24"/>
        </w:rPr>
      </w:pPr>
      <w:r w:rsidRPr="00CF2408">
        <w:rPr>
          <w:i/>
          <w:szCs w:val="24"/>
        </w:rPr>
        <w:t>Důchodová metoda</w:t>
      </w:r>
      <w:r w:rsidRPr="00BE739C">
        <w:rPr>
          <w:szCs w:val="24"/>
        </w:rPr>
        <w:t xml:space="preserve"> – sčítání mezd, rent, zisků, úroků, znehodnoceného kapitálu a nepřímé daně zmenšené o dotace</w:t>
      </w:r>
    </w:p>
    <w:p w14:paraId="6F8B1E6F" w14:textId="77777777" w:rsidR="00590A91" w:rsidRDefault="00B06F0D" w:rsidP="00625F4B">
      <w:pPr>
        <w:spacing w:after="20"/>
        <w:rPr>
          <w:szCs w:val="24"/>
        </w:rPr>
      </w:pPr>
      <w:r>
        <w:rPr>
          <w:szCs w:val="24"/>
        </w:rPr>
        <w:t>Všechny tři metody by měly dosáhnout stejného vý</w:t>
      </w:r>
      <w:r w:rsidR="00BA1D66">
        <w:rPr>
          <w:szCs w:val="24"/>
        </w:rPr>
        <w:t>sledku. V</w:t>
      </w:r>
      <w:r>
        <w:rPr>
          <w:szCs w:val="24"/>
        </w:rPr>
        <w:t> praxi se</w:t>
      </w:r>
      <w:r w:rsidR="00FC52FE">
        <w:rPr>
          <w:szCs w:val="24"/>
        </w:rPr>
        <w:t xml:space="preserve"> však díky statistickým odchylká</w:t>
      </w:r>
      <w:r>
        <w:rPr>
          <w:szCs w:val="24"/>
        </w:rPr>
        <w:t>m stává, že tomu tak</w:t>
      </w:r>
      <w:r w:rsidR="00FC52FE">
        <w:rPr>
          <w:szCs w:val="24"/>
        </w:rPr>
        <w:t xml:space="preserve"> občas</w:t>
      </w:r>
      <w:r>
        <w:rPr>
          <w:szCs w:val="24"/>
        </w:rPr>
        <w:t xml:space="preserve"> není. </w:t>
      </w:r>
    </w:p>
    <w:p w14:paraId="471B7425" w14:textId="77777777" w:rsidR="00865B7A" w:rsidRDefault="00865B7A" w:rsidP="00625F4B">
      <w:pPr>
        <w:spacing w:after="20"/>
        <w:rPr>
          <w:rStyle w:val="Siln"/>
        </w:rPr>
      </w:pPr>
    </w:p>
    <w:p w14:paraId="034397F8" w14:textId="794D99B2" w:rsidR="002A1A47" w:rsidRPr="00BC24BC" w:rsidRDefault="002A1A47" w:rsidP="00625F4B">
      <w:pPr>
        <w:spacing w:after="20"/>
        <w:rPr>
          <w:bCs/>
          <w:sz w:val="22"/>
          <w:szCs w:val="22"/>
        </w:rPr>
      </w:pPr>
      <w:r w:rsidRPr="00BC24BC">
        <w:rPr>
          <w:rStyle w:val="Siln"/>
          <w:sz w:val="22"/>
          <w:szCs w:val="22"/>
        </w:rPr>
        <w:t xml:space="preserve">Graf 1 </w:t>
      </w:r>
      <w:r w:rsidR="00745A26">
        <w:rPr>
          <w:rStyle w:val="Siln"/>
          <w:b w:val="0"/>
          <w:sz w:val="22"/>
          <w:szCs w:val="22"/>
        </w:rPr>
        <w:t>Tempo</w:t>
      </w:r>
      <w:r w:rsidRPr="00BC24BC">
        <w:rPr>
          <w:rStyle w:val="Siln"/>
          <w:b w:val="0"/>
          <w:sz w:val="22"/>
          <w:szCs w:val="22"/>
        </w:rPr>
        <w:t xml:space="preserve"> růstu reálného hrubého domácího </w:t>
      </w:r>
      <w:r w:rsidR="00D24DB6">
        <w:rPr>
          <w:rStyle w:val="Siln"/>
          <w:b w:val="0"/>
          <w:sz w:val="22"/>
          <w:szCs w:val="22"/>
        </w:rPr>
        <w:t>produktu (HDP) ČR, Polska a EU</w:t>
      </w:r>
      <w:r w:rsidRPr="00BC24BC">
        <w:rPr>
          <w:rStyle w:val="Siln"/>
          <w:b w:val="0"/>
          <w:sz w:val="22"/>
          <w:szCs w:val="22"/>
        </w:rPr>
        <w:t xml:space="preserve"> </w:t>
      </w:r>
      <w:r w:rsidR="00D24DB6">
        <w:rPr>
          <w:rStyle w:val="Siln"/>
          <w:b w:val="0"/>
          <w:sz w:val="22"/>
          <w:szCs w:val="22"/>
        </w:rPr>
        <w:t>(</w:t>
      </w:r>
      <w:r w:rsidRPr="00BC24BC">
        <w:rPr>
          <w:rStyle w:val="Siln"/>
          <w:b w:val="0"/>
          <w:sz w:val="22"/>
          <w:szCs w:val="22"/>
        </w:rPr>
        <w:t>28</w:t>
      </w:r>
      <w:r w:rsidR="00D24DB6">
        <w:rPr>
          <w:rStyle w:val="Siln"/>
          <w:b w:val="0"/>
          <w:sz w:val="22"/>
          <w:szCs w:val="22"/>
        </w:rPr>
        <w:t>)</w:t>
      </w:r>
      <w:r w:rsidR="00865B7A" w:rsidRPr="00BC24BC">
        <w:rPr>
          <w:rStyle w:val="Siln"/>
          <w:b w:val="0"/>
          <w:sz w:val="22"/>
          <w:szCs w:val="22"/>
        </w:rPr>
        <w:t xml:space="preserve">, </w:t>
      </w:r>
      <w:r w:rsidR="00142AE9">
        <w:rPr>
          <w:rStyle w:val="Siln"/>
          <w:b w:val="0"/>
          <w:sz w:val="22"/>
          <w:szCs w:val="22"/>
        </w:rPr>
        <w:t xml:space="preserve">v procentuální </w:t>
      </w:r>
      <w:r w:rsidR="0013108D">
        <w:rPr>
          <w:rStyle w:val="Siln"/>
          <w:b w:val="0"/>
          <w:sz w:val="22"/>
          <w:szCs w:val="22"/>
        </w:rPr>
        <w:t xml:space="preserve">změně předchozího roku, </w:t>
      </w:r>
      <w:r w:rsidR="00865B7A" w:rsidRPr="00BC24BC">
        <w:rPr>
          <w:rStyle w:val="Siln"/>
          <w:b w:val="0"/>
          <w:sz w:val="22"/>
          <w:szCs w:val="22"/>
        </w:rPr>
        <w:t>za období 2008-2013</w:t>
      </w:r>
    </w:p>
    <w:p w14:paraId="5329C77B" w14:textId="77777777" w:rsidR="002A1A47" w:rsidRPr="00865B7A" w:rsidRDefault="002A1A47" w:rsidP="00625F4B">
      <w:pPr>
        <w:spacing w:after="20"/>
        <w:rPr>
          <w:szCs w:val="24"/>
        </w:rPr>
      </w:pPr>
      <w:r>
        <w:rPr>
          <w:noProof/>
          <w:lang w:eastAsia="ja-JP"/>
        </w:rPr>
        <w:drawing>
          <wp:inline distT="0" distB="0" distL="0" distR="0" wp14:anchorId="5C891BB7" wp14:editId="12F91E8A">
            <wp:extent cx="5400040" cy="2712520"/>
            <wp:effectExtent l="0" t="0" r="1016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D690FB" w14:textId="77777777" w:rsidR="002A1A47" w:rsidRPr="00BC24BC" w:rsidRDefault="002A1A47" w:rsidP="00625F4B">
      <w:pPr>
        <w:spacing w:after="20"/>
        <w:rPr>
          <w:noProof/>
          <w:sz w:val="22"/>
          <w:szCs w:val="22"/>
          <w:lang w:val="en-US" w:eastAsia="en-US"/>
        </w:rPr>
      </w:pPr>
      <w:r w:rsidRPr="00BC24BC">
        <w:rPr>
          <w:noProof/>
          <w:sz w:val="22"/>
          <w:szCs w:val="22"/>
          <w:lang w:val="en-US" w:eastAsia="en-US"/>
        </w:rPr>
        <w:t xml:space="preserve">Zdroj: Eurostat, </w:t>
      </w:r>
      <w:r w:rsidR="0070449E" w:rsidRPr="0070449E">
        <w:rPr>
          <w:noProof/>
          <w:sz w:val="22"/>
          <w:szCs w:val="22"/>
          <w:lang w:val="en-US" w:eastAsia="en-US"/>
        </w:rPr>
        <w:t>Real GDP growth rate - volume</w:t>
      </w:r>
      <w:r w:rsidR="0070449E" w:rsidRPr="00BC24BC">
        <w:rPr>
          <w:noProof/>
          <w:sz w:val="22"/>
          <w:szCs w:val="22"/>
          <w:lang w:val="en-US" w:eastAsia="en-US"/>
        </w:rPr>
        <w:t xml:space="preserve"> </w:t>
      </w:r>
      <w:r w:rsidRPr="00BC24BC">
        <w:rPr>
          <w:noProof/>
          <w:sz w:val="22"/>
          <w:szCs w:val="22"/>
          <w:lang w:val="en-US" w:eastAsia="en-US"/>
        </w:rPr>
        <w:t>(2014), vlastní úprava</w:t>
      </w:r>
    </w:p>
    <w:p w14:paraId="3684A8C1" w14:textId="77777777" w:rsidR="003E4795" w:rsidRPr="00BC24BC" w:rsidRDefault="002A1A47" w:rsidP="00625F4B">
      <w:pPr>
        <w:spacing w:after="20"/>
        <w:rPr>
          <w:noProof/>
          <w:sz w:val="22"/>
          <w:szCs w:val="22"/>
          <w:lang w:val="en-US" w:eastAsia="en-US"/>
        </w:rPr>
      </w:pPr>
      <w:r w:rsidRPr="00BC24BC">
        <w:rPr>
          <w:noProof/>
          <w:sz w:val="22"/>
          <w:szCs w:val="22"/>
          <w:lang w:val="en-US" w:eastAsia="en-US"/>
        </w:rPr>
        <w:t>Poznámka: graf vycházíz tabulky</w:t>
      </w:r>
      <w:r w:rsidR="00D24DB6">
        <w:rPr>
          <w:noProof/>
          <w:sz w:val="22"/>
          <w:szCs w:val="22"/>
          <w:lang w:val="en-US" w:eastAsia="en-US"/>
        </w:rPr>
        <w:t xml:space="preserve"> </w:t>
      </w:r>
      <w:r w:rsidRPr="00BC24BC">
        <w:rPr>
          <w:noProof/>
          <w:sz w:val="22"/>
          <w:szCs w:val="22"/>
          <w:lang w:val="en-US" w:eastAsia="en-US"/>
        </w:rPr>
        <w:t>1</w:t>
      </w:r>
      <w:r w:rsidR="00BC24BC" w:rsidRPr="00BC24BC">
        <w:rPr>
          <w:noProof/>
          <w:sz w:val="22"/>
          <w:szCs w:val="22"/>
          <w:lang w:val="en-US" w:eastAsia="en-US"/>
        </w:rPr>
        <w:t>,</w:t>
      </w:r>
      <w:r w:rsidRPr="00BC24BC">
        <w:rPr>
          <w:noProof/>
          <w:sz w:val="22"/>
          <w:szCs w:val="22"/>
          <w:lang w:val="en-US" w:eastAsia="en-US"/>
        </w:rPr>
        <w:t xml:space="preserve"> uvedené v příloze</w:t>
      </w:r>
    </w:p>
    <w:p w14:paraId="1A4AB71A" w14:textId="77777777" w:rsidR="00865B7A" w:rsidRDefault="00865B7A" w:rsidP="00625F4B">
      <w:pPr>
        <w:spacing w:after="20"/>
        <w:rPr>
          <w:szCs w:val="24"/>
        </w:rPr>
      </w:pPr>
    </w:p>
    <w:p w14:paraId="3F5F22C2" w14:textId="77777777" w:rsidR="00F83178" w:rsidRDefault="00865B7A" w:rsidP="00625F4B">
      <w:pPr>
        <w:spacing w:after="20"/>
        <w:rPr>
          <w:noProof/>
          <w:lang w:val="en-US" w:eastAsia="en-US"/>
        </w:rPr>
      </w:pPr>
      <w:r>
        <w:rPr>
          <w:noProof/>
          <w:lang w:val="en-US" w:eastAsia="en-US"/>
        </w:rPr>
        <w:t>Z grafu je zřejmé, jak se na obou zemích projevila ekonomická krize v roze 2008, kdy HDP v ČR a EU prudce kleslo do záporných hodnot a v roce 2009 se dostalo i do záporných čísel. Naopak Polsko se stále drží v kladných číslech i přes znatelný pokles, tudíž růstové hodnoty. V roce 2010, se projevuje mírné oživení ekonomiky</w:t>
      </w:r>
      <w:r w:rsidR="00BA1D66">
        <w:rPr>
          <w:noProof/>
          <w:lang w:val="en-US" w:eastAsia="en-US"/>
        </w:rPr>
        <w:t>,</w:t>
      </w:r>
      <w:r>
        <w:rPr>
          <w:noProof/>
          <w:lang w:val="en-US" w:eastAsia="en-US"/>
        </w:rPr>
        <w:t xml:space="preserve"> ale v roce 2012 opět HDP klesá v obou sledovaných zemích. Rok 2013 s</w:t>
      </w:r>
      <w:r w:rsidR="00BA1D66">
        <w:rPr>
          <w:noProof/>
          <w:lang w:val="en-US" w:eastAsia="en-US"/>
        </w:rPr>
        <w:t>tále nevypadá dostatečně přízniv</w:t>
      </w:r>
      <w:r>
        <w:rPr>
          <w:noProof/>
          <w:lang w:val="en-US" w:eastAsia="en-US"/>
        </w:rPr>
        <w:t>ě, ale Polsko se opro</w:t>
      </w:r>
      <w:r w:rsidR="00F83178">
        <w:rPr>
          <w:noProof/>
          <w:lang w:val="en-US" w:eastAsia="en-US"/>
        </w:rPr>
        <w:t>ti ČR drží v kladných hodnotách.</w:t>
      </w:r>
      <w:r w:rsidR="00A16F00">
        <w:rPr>
          <w:noProof/>
          <w:lang w:val="en-US" w:eastAsia="en-US"/>
        </w:rPr>
        <w:t xml:space="preserve"> ČR se i přes značný pokles drží v podobých číslech jako průměr států EU (28), což znamené, že nijak zásadně nevybočuje oproti ostatním státům.</w:t>
      </w:r>
    </w:p>
    <w:p w14:paraId="3FC53CCD" w14:textId="77777777" w:rsidR="00F83178" w:rsidRDefault="00F83178" w:rsidP="00625F4B">
      <w:pPr>
        <w:spacing w:after="20"/>
        <w:rPr>
          <w:noProof/>
          <w:lang w:val="en-US" w:eastAsia="en-US"/>
        </w:rPr>
      </w:pPr>
    </w:p>
    <w:p w14:paraId="0CBA5387" w14:textId="77777777" w:rsidR="00F83178" w:rsidRPr="00BC24BC" w:rsidRDefault="00F83178" w:rsidP="00F83178">
      <w:pPr>
        <w:widowControl w:val="0"/>
        <w:autoSpaceDE w:val="0"/>
        <w:autoSpaceDN w:val="0"/>
        <w:adjustRightInd w:val="0"/>
        <w:spacing w:after="20"/>
        <w:jc w:val="left"/>
        <w:rPr>
          <w:rFonts w:ascii="Times" w:hAnsi="Times" w:cs="Times"/>
          <w:sz w:val="22"/>
          <w:szCs w:val="22"/>
          <w:lang w:val="en-US"/>
        </w:rPr>
      </w:pPr>
      <w:r w:rsidRPr="00BC24BC">
        <w:rPr>
          <w:rStyle w:val="Siln"/>
          <w:sz w:val="22"/>
          <w:szCs w:val="22"/>
        </w:rPr>
        <w:t>Graf 2</w:t>
      </w:r>
      <w:r w:rsidRPr="00BC24BC">
        <w:rPr>
          <w:rFonts w:ascii="Times" w:hAnsi="Times" w:cs="Times"/>
          <w:sz w:val="22"/>
          <w:szCs w:val="22"/>
          <w:lang w:val="en-US"/>
        </w:rPr>
        <w:t xml:space="preserve"> </w:t>
      </w:r>
      <w:r w:rsidRPr="00BC24BC">
        <w:rPr>
          <w:noProof/>
          <w:sz w:val="22"/>
          <w:szCs w:val="22"/>
          <w:lang w:val="en-US" w:eastAsia="en-US"/>
        </w:rPr>
        <w:t>HDP na obyvatele v paritě kupní síly v ČR, Polska a EU (28), v indexovém vyjádření, za období 2001-2013</w:t>
      </w:r>
    </w:p>
    <w:p w14:paraId="6323075B" w14:textId="77777777" w:rsidR="00F83178" w:rsidRDefault="00F83178" w:rsidP="00F83178">
      <w:pPr>
        <w:spacing w:after="20"/>
        <w:rPr>
          <w:szCs w:val="24"/>
        </w:rPr>
      </w:pPr>
      <w:r>
        <w:rPr>
          <w:noProof/>
          <w:lang w:eastAsia="ja-JP"/>
        </w:rPr>
        <w:drawing>
          <wp:inline distT="0" distB="0" distL="0" distR="0" wp14:anchorId="7A154C8D" wp14:editId="1E26B4D0">
            <wp:extent cx="4264946" cy="2260761"/>
            <wp:effectExtent l="0" t="0" r="254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DE196E" w14:textId="77777777" w:rsidR="00F83178" w:rsidRPr="00BC24BC" w:rsidRDefault="00F83178" w:rsidP="00F83178">
      <w:pPr>
        <w:spacing w:after="20"/>
        <w:rPr>
          <w:noProof/>
          <w:sz w:val="22"/>
          <w:szCs w:val="22"/>
          <w:lang w:val="en-US" w:eastAsia="en-US"/>
        </w:rPr>
      </w:pPr>
      <w:r w:rsidRPr="00BC24BC">
        <w:rPr>
          <w:noProof/>
          <w:sz w:val="22"/>
          <w:szCs w:val="22"/>
          <w:lang w:val="en-US" w:eastAsia="en-US"/>
        </w:rPr>
        <w:t xml:space="preserve">Zdroj: Eurostat, </w:t>
      </w:r>
      <w:r w:rsidR="0070449E" w:rsidRPr="0070449E">
        <w:rPr>
          <w:noProof/>
          <w:sz w:val="22"/>
          <w:szCs w:val="22"/>
          <w:lang w:val="en-US" w:eastAsia="en-US"/>
        </w:rPr>
        <w:t xml:space="preserve">GDP per capita in Purchasing Power Standards </w:t>
      </w:r>
      <w:r w:rsidRPr="00BC24BC">
        <w:rPr>
          <w:noProof/>
          <w:sz w:val="22"/>
          <w:szCs w:val="22"/>
          <w:lang w:val="en-US" w:eastAsia="en-US"/>
        </w:rPr>
        <w:t>(2014), vlastní úprava</w:t>
      </w:r>
    </w:p>
    <w:p w14:paraId="508275F7" w14:textId="77777777" w:rsidR="00F83178" w:rsidRPr="00BC24BC" w:rsidRDefault="00F83178" w:rsidP="00F83178">
      <w:pPr>
        <w:spacing w:after="20"/>
        <w:rPr>
          <w:noProof/>
          <w:sz w:val="22"/>
          <w:szCs w:val="22"/>
          <w:lang w:val="en-US" w:eastAsia="en-US"/>
        </w:rPr>
      </w:pPr>
      <w:r w:rsidRPr="00BC24BC">
        <w:rPr>
          <w:noProof/>
          <w:sz w:val="22"/>
          <w:szCs w:val="22"/>
          <w:lang w:val="en-US" w:eastAsia="en-US"/>
        </w:rPr>
        <w:t>Poznámka: graf vychází z tabulky 2, uvedené v příloze</w:t>
      </w:r>
    </w:p>
    <w:p w14:paraId="37F458E0" w14:textId="77777777" w:rsidR="00F83178" w:rsidRDefault="00F83178" w:rsidP="00F83178">
      <w:pPr>
        <w:spacing w:after="20"/>
        <w:rPr>
          <w:szCs w:val="24"/>
        </w:rPr>
      </w:pPr>
    </w:p>
    <w:p w14:paraId="3402628A" w14:textId="77777777" w:rsidR="00F83178" w:rsidRDefault="00F83178" w:rsidP="00F83178">
      <w:pPr>
        <w:spacing w:after="20"/>
        <w:rPr>
          <w:noProof/>
          <w:lang w:val="en-US" w:eastAsia="en-US"/>
        </w:rPr>
      </w:pPr>
      <w:r>
        <w:rPr>
          <w:szCs w:val="24"/>
        </w:rPr>
        <w:t>V grafu je uvedeno porovnání Č</w:t>
      </w:r>
      <w:r w:rsidR="00A16F00">
        <w:rPr>
          <w:szCs w:val="24"/>
        </w:rPr>
        <w:t xml:space="preserve">R, Polska a pro představu i </w:t>
      </w:r>
      <w:proofErr w:type="spellStart"/>
      <w:r w:rsidR="00A16F00">
        <w:rPr>
          <w:szCs w:val="24"/>
        </w:rPr>
        <w:t>Eu</w:t>
      </w:r>
      <w:proofErr w:type="spellEnd"/>
      <w:r>
        <w:rPr>
          <w:szCs w:val="24"/>
        </w:rPr>
        <w:t xml:space="preserve"> (28). Data jsou uvedena v indexovém vyjádření, kdy průměr je na 100 jednotek. Jde tedy o průměr všech 28 zemí v Evropské unii. Jak je z grafu patrné, Evropská unie má index 100. ČR je v porovnání s Polskem v indexu mnohem výš i přes to, je hodnota indexu ČR velmi konstantní a kromě roku 2009, kdy měla index 82, nestoupá. V roce 2013 hodnota naopak klesla na 80. Polsko je na tom o poznání hůř oproti ČR, ale každý rok jeho index stoupá, </w:t>
      </w:r>
      <w:r w:rsidR="00A16F00">
        <w:rPr>
          <w:szCs w:val="24"/>
        </w:rPr>
        <w:t>což lze ve srovnání s ČR hodnotit kladně</w:t>
      </w:r>
      <w:r>
        <w:rPr>
          <w:szCs w:val="24"/>
        </w:rPr>
        <w:t xml:space="preserve">. Z grafu je patrné, že intenzita růstu </w:t>
      </w:r>
      <w:r w:rsidRPr="00945C4B">
        <w:rPr>
          <w:noProof/>
          <w:lang w:val="en-US" w:eastAsia="en-US"/>
        </w:rPr>
        <w:t>HDP na obyvatele v paritě kupní síly</w:t>
      </w:r>
      <w:r>
        <w:rPr>
          <w:noProof/>
          <w:lang w:val="en-US" w:eastAsia="en-US"/>
        </w:rPr>
        <w:t xml:space="preserve"> je v Polsko trvale vzrůstající.</w:t>
      </w:r>
    </w:p>
    <w:p w14:paraId="5A8B27D1" w14:textId="77777777" w:rsidR="00F83178" w:rsidRPr="00865B7A" w:rsidRDefault="00F83178" w:rsidP="00F83178">
      <w:pPr>
        <w:spacing w:after="20"/>
        <w:rPr>
          <w:noProof/>
          <w:lang w:val="en-US" w:eastAsia="en-US"/>
        </w:rPr>
      </w:pPr>
    </w:p>
    <w:p w14:paraId="2783550B" w14:textId="77777777" w:rsidR="00F83178" w:rsidRDefault="00F83178" w:rsidP="00F83178">
      <w:pPr>
        <w:spacing w:after="20"/>
      </w:pPr>
      <w:r>
        <w:rPr>
          <w:b/>
          <w:szCs w:val="24"/>
          <w:u w:val="single"/>
        </w:rPr>
        <w:t>Míra inflace</w:t>
      </w:r>
    </w:p>
    <w:p w14:paraId="746251D9" w14:textId="77777777" w:rsidR="00F83178" w:rsidRPr="00A94F9D" w:rsidRDefault="00A16F00" w:rsidP="00F83178">
      <w:pPr>
        <w:spacing w:after="20"/>
        <w:rPr>
          <w:szCs w:val="24"/>
        </w:rPr>
      </w:pPr>
      <w:r>
        <w:rPr>
          <w:szCs w:val="24"/>
        </w:rPr>
        <w:t>Jurečka (</w:t>
      </w:r>
      <w:r w:rsidR="00F83178" w:rsidRPr="00A94F9D">
        <w:rPr>
          <w:szCs w:val="24"/>
        </w:rPr>
        <w:t>2010, s. 112 - 116) popisuje inflaci jako: „Zvyšování cenové hladiny, které má za nás</w:t>
      </w:r>
      <w:r w:rsidR="00E80E5D">
        <w:rPr>
          <w:szCs w:val="24"/>
        </w:rPr>
        <w:t>ledek snižování kupní síly peněz.” Inflací, dle Jureč</w:t>
      </w:r>
      <w:r w:rsidR="00F83178" w:rsidRPr="00A94F9D">
        <w:rPr>
          <w:szCs w:val="24"/>
        </w:rPr>
        <w:t>ky, rozumíme zvyšování cenov</w:t>
      </w:r>
      <w:r w:rsidR="00E80E5D">
        <w:rPr>
          <w:szCs w:val="24"/>
        </w:rPr>
        <w:t>é hladiny v ekonomice dané země, nikoliv však rů</w:t>
      </w:r>
      <w:r w:rsidR="00F83178" w:rsidRPr="00A94F9D">
        <w:rPr>
          <w:szCs w:val="24"/>
        </w:rPr>
        <w:t>st cen jednotlivých sl</w:t>
      </w:r>
      <w:r w:rsidR="00E80E5D">
        <w:rPr>
          <w:szCs w:val="24"/>
        </w:rPr>
        <w:t>užeb a výrobků. Inflaci lze měřit pomocí indexu spotř</w:t>
      </w:r>
      <w:r w:rsidR="00F83178" w:rsidRPr="00A94F9D">
        <w:rPr>
          <w:szCs w:val="24"/>
        </w:rPr>
        <w:t>ebitelských cen (CPI) nebo implicitním cenov</w:t>
      </w:r>
      <w:r w:rsidR="00E80E5D">
        <w:rPr>
          <w:szCs w:val="24"/>
        </w:rPr>
        <w:t>ým deflátorem (IPD). Index spotř</w:t>
      </w:r>
      <w:r w:rsidR="00F83178" w:rsidRPr="00A94F9D">
        <w:rPr>
          <w:szCs w:val="24"/>
        </w:rPr>
        <w:t>e</w:t>
      </w:r>
      <w:r w:rsidR="00E80E5D">
        <w:rPr>
          <w:szCs w:val="24"/>
        </w:rPr>
        <w:t>bitelských cen porovnává výši nákladů na nákup spotř</w:t>
      </w:r>
      <w:r w:rsidR="00F83178" w:rsidRPr="00A94F9D">
        <w:rPr>
          <w:szCs w:val="24"/>
        </w:rPr>
        <w:t xml:space="preserve">ebního koše ve </w:t>
      </w:r>
      <w:r w:rsidR="00E80E5D">
        <w:rPr>
          <w:szCs w:val="24"/>
        </w:rPr>
        <w:t>dvou porovnávaných obdobích, přičemž měří</w:t>
      </w:r>
      <w:r w:rsidR="00F83178" w:rsidRPr="00A94F9D">
        <w:rPr>
          <w:szCs w:val="24"/>
        </w:rPr>
        <w:t xml:space="preserve"> vývoj cenové hladiny. </w:t>
      </w:r>
    </w:p>
    <w:p w14:paraId="7AEADD47" w14:textId="77777777" w:rsidR="000F1539" w:rsidRDefault="00E80E5D" w:rsidP="00625F4B">
      <w:pPr>
        <w:spacing w:after="20"/>
        <w:rPr>
          <w:szCs w:val="24"/>
        </w:rPr>
      </w:pPr>
      <w:r>
        <w:rPr>
          <w:szCs w:val="24"/>
        </w:rPr>
        <w:t>Jurečka uvádí, jak lze index spotřebitelských cen vypoč</w:t>
      </w:r>
      <w:r w:rsidR="00F83178" w:rsidRPr="00A94F9D">
        <w:rPr>
          <w:szCs w:val="24"/>
        </w:rPr>
        <w:t>ítat,</w:t>
      </w:r>
      <w:r>
        <w:rPr>
          <w:szCs w:val="24"/>
        </w:rPr>
        <w:t xml:space="preserve"> jedná se o podíl hodnoty spotřebního koše za bě</w:t>
      </w:r>
      <w:r w:rsidR="00F83178" w:rsidRPr="00A94F9D">
        <w:rPr>
          <w:szCs w:val="24"/>
        </w:rPr>
        <w:t>žný</w:t>
      </w:r>
      <w:r>
        <w:rPr>
          <w:szCs w:val="24"/>
        </w:rPr>
        <w:t xml:space="preserve"> rok a hodnoty spotř</w:t>
      </w:r>
      <w:r w:rsidR="00F83178" w:rsidRPr="00A94F9D">
        <w:rPr>
          <w:szCs w:val="24"/>
        </w:rPr>
        <w:t>ebního koše v cenách základního období. Pokud tuto hodnotu vynásobíme</w:t>
      </w:r>
      <w:r>
        <w:rPr>
          <w:szCs w:val="24"/>
        </w:rPr>
        <w:t xml:space="preserve"> stem, získáme procentuální vyjádř</w:t>
      </w:r>
      <w:r w:rsidR="00F83178" w:rsidRPr="00A94F9D">
        <w:rPr>
          <w:szCs w:val="24"/>
        </w:rPr>
        <w:t>ení. Autor</w:t>
      </w:r>
      <w:r>
        <w:rPr>
          <w:szCs w:val="24"/>
        </w:rPr>
        <w:t xml:space="preserve"> vysvě</w:t>
      </w:r>
      <w:r w:rsidR="00F83178" w:rsidRPr="00A94F9D">
        <w:rPr>
          <w:szCs w:val="24"/>
        </w:rPr>
        <w:t>tluje, že je-li hodnota vyšší, než 10</w:t>
      </w:r>
      <w:r>
        <w:rPr>
          <w:szCs w:val="24"/>
        </w:rPr>
        <w:t>0, dochází zde k inflaci. Jureč</w:t>
      </w:r>
      <w:r w:rsidR="00F83178" w:rsidRPr="00A94F9D">
        <w:rPr>
          <w:szCs w:val="24"/>
        </w:rPr>
        <w:t>ka považuje implicitní cenový deflátor za mnoh</w:t>
      </w:r>
      <w:r>
        <w:rPr>
          <w:szCs w:val="24"/>
        </w:rPr>
        <w:t>em přesně</w:t>
      </w:r>
      <w:r w:rsidR="00F83178" w:rsidRPr="00A94F9D">
        <w:rPr>
          <w:szCs w:val="24"/>
        </w:rPr>
        <w:t>jší indikátor. A</w:t>
      </w:r>
      <w:r>
        <w:rPr>
          <w:szCs w:val="24"/>
        </w:rPr>
        <w:t>utor dělí inflaci dle tempa rů</w:t>
      </w:r>
      <w:r w:rsidR="00F83178" w:rsidRPr="00A94F9D">
        <w:rPr>
          <w:szCs w:val="24"/>
        </w:rPr>
        <w:t xml:space="preserve">stu a plíživou, pádivou a hyperinflaci. </w:t>
      </w:r>
    </w:p>
    <w:p w14:paraId="39739515" w14:textId="77777777" w:rsidR="00716050" w:rsidRPr="00F83178" w:rsidRDefault="00716050" w:rsidP="00625F4B">
      <w:pPr>
        <w:spacing w:after="20"/>
        <w:rPr>
          <w:szCs w:val="24"/>
        </w:rPr>
        <w:sectPr w:rsidR="00716050" w:rsidRPr="00F83178" w:rsidSect="00E14A51">
          <w:headerReference w:type="even" r:id="rId17"/>
          <w:headerReference w:type="default" r:id="rId18"/>
          <w:footerReference w:type="default" r:id="rId19"/>
          <w:headerReference w:type="first" r:id="rId20"/>
          <w:pgSz w:w="11906" w:h="16838" w:code="9"/>
          <w:pgMar w:top="1418" w:right="1134" w:bottom="1418" w:left="2268" w:header="709" w:footer="443" w:gutter="0"/>
          <w:pgNumType w:start="1"/>
          <w:cols w:space="708"/>
          <w:docGrid w:linePitch="326"/>
        </w:sectPr>
      </w:pPr>
    </w:p>
    <w:p w14:paraId="1F37D8EB" w14:textId="77777777" w:rsidR="00865B7A" w:rsidRDefault="00865B7A" w:rsidP="00625F4B">
      <w:pPr>
        <w:spacing w:after="20"/>
        <w:rPr>
          <w:szCs w:val="24"/>
        </w:rPr>
      </w:pPr>
    </w:p>
    <w:p w14:paraId="3C89670B" w14:textId="49D987FC" w:rsidR="00865B7A" w:rsidRPr="00716050" w:rsidRDefault="00716050" w:rsidP="00716050">
      <w:pPr>
        <w:spacing w:after="20"/>
        <w:jc w:val="left"/>
        <w:rPr>
          <w:b/>
          <w:bCs/>
        </w:rPr>
      </w:pPr>
      <w:r w:rsidRPr="00716050">
        <w:rPr>
          <w:b/>
          <w:bCs/>
        </w:rPr>
        <w:t xml:space="preserve">Graf </w:t>
      </w:r>
      <w:r w:rsidR="00865B7A" w:rsidRPr="00716050">
        <w:rPr>
          <w:b/>
          <w:bCs/>
        </w:rPr>
        <w:t xml:space="preserve">3 </w:t>
      </w:r>
      <w:r w:rsidR="00865B7A" w:rsidRPr="00716050">
        <w:rPr>
          <w:sz w:val="22"/>
          <w:szCs w:val="22"/>
        </w:rPr>
        <w:t>Roční průměrná inflace v ČR, Pols</w:t>
      </w:r>
      <w:r w:rsidR="00536C5C">
        <w:rPr>
          <w:sz w:val="22"/>
          <w:szCs w:val="22"/>
        </w:rPr>
        <w:t>ku a EU (28) za období 2008 – 2</w:t>
      </w:r>
      <w:r w:rsidR="00865B7A" w:rsidRPr="00716050">
        <w:rPr>
          <w:sz w:val="22"/>
          <w:szCs w:val="22"/>
        </w:rPr>
        <w:t>013 v procentuálním vyjádření</w:t>
      </w:r>
    </w:p>
    <w:p w14:paraId="7E42E942" w14:textId="77777777" w:rsidR="00865B7A" w:rsidRDefault="009C188C" w:rsidP="00625F4B">
      <w:pPr>
        <w:spacing w:after="20"/>
        <w:rPr>
          <w:szCs w:val="24"/>
        </w:rPr>
      </w:pPr>
      <w:r>
        <w:rPr>
          <w:noProof/>
          <w:lang w:eastAsia="ja-JP"/>
        </w:rPr>
        <w:drawing>
          <wp:inline distT="0" distB="0" distL="0" distR="0" wp14:anchorId="4DF33F24" wp14:editId="07CA2F09">
            <wp:extent cx="4572000" cy="27432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FB8821" w14:textId="3865875F" w:rsidR="00865B7A" w:rsidRPr="00BC24BC" w:rsidRDefault="00925E28" w:rsidP="00625F4B">
      <w:pPr>
        <w:spacing w:after="20"/>
        <w:jc w:val="left"/>
        <w:rPr>
          <w:sz w:val="22"/>
          <w:szCs w:val="22"/>
        </w:rPr>
      </w:pPr>
      <w:r w:rsidRPr="00BC24BC">
        <w:rPr>
          <w:sz w:val="22"/>
          <w:szCs w:val="22"/>
        </w:rPr>
        <w:t xml:space="preserve">Zdroj: </w:t>
      </w:r>
      <w:proofErr w:type="spellStart"/>
      <w:r w:rsidRPr="00BC24BC">
        <w:rPr>
          <w:sz w:val="22"/>
          <w:szCs w:val="22"/>
        </w:rPr>
        <w:t>Eurostat</w:t>
      </w:r>
      <w:proofErr w:type="spellEnd"/>
      <w:r w:rsidRPr="00BC24BC">
        <w:rPr>
          <w:sz w:val="22"/>
          <w:szCs w:val="22"/>
        </w:rPr>
        <w:t xml:space="preserve">, </w:t>
      </w:r>
      <w:proofErr w:type="spellStart"/>
      <w:r w:rsidR="00A628A2">
        <w:rPr>
          <w:sz w:val="22"/>
          <w:szCs w:val="22"/>
        </w:rPr>
        <w:t>I</w:t>
      </w:r>
      <w:r w:rsidR="0070449E" w:rsidRPr="0070449E">
        <w:rPr>
          <w:sz w:val="22"/>
          <w:szCs w:val="22"/>
        </w:rPr>
        <w:t>nflation</w:t>
      </w:r>
      <w:proofErr w:type="spellEnd"/>
      <w:r w:rsidR="0070449E" w:rsidRPr="0070449E">
        <w:rPr>
          <w:sz w:val="22"/>
          <w:szCs w:val="22"/>
        </w:rPr>
        <w:t xml:space="preserve"> </w:t>
      </w:r>
      <w:proofErr w:type="spellStart"/>
      <w:r w:rsidR="0070449E" w:rsidRPr="0070449E">
        <w:rPr>
          <w:sz w:val="22"/>
          <w:szCs w:val="22"/>
        </w:rPr>
        <w:t>rate</w:t>
      </w:r>
      <w:proofErr w:type="spellEnd"/>
      <w:r w:rsidR="0070449E" w:rsidRPr="0070449E">
        <w:rPr>
          <w:sz w:val="22"/>
          <w:szCs w:val="22"/>
        </w:rPr>
        <w:t xml:space="preserve"> </w:t>
      </w:r>
      <w:r w:rsidRPr="00BC24BC">
        <w:rPr>
          <w:sz w:val="22"/>
          <w:szCs w:val="22"/>
        </w:rPr>
        <w:t>(2014), vlastní úprava</w:t>
      </w:r>
    </w:p>
    <w:p w14:paraId="37A23D45" w14:textId="77777777" w:rsidR="00925E28" w:rsidRPr="00BC24BC" w:rsidRDefault="00925E28" w:rsidP="00625F4B">
      <w:pPr>
        <w:spacing w:after="20"/>
        <w:jc w:val="left"/>
        <w:rPr>
          <w:sz w:val="22"/>
          <w:szCs w:val="22"/>
        </w:rPr>
      </w:pPr>
      <w:r w:rsidRPr="00BC24BC">
        <w:rPr>
          <w:sz w:val="22"/>
          <w:szCs w:val="22"/>
        </w:rPr>
        <w:t>Poznámka: graf vychází z tabulky 3</w:t>
      </w:r>
      <w:r w:rsidR="00BC24BC" w:rsidRPr="00BC24BC">
        <w:rPr>
          <w:sz w:val="22"/>
          <w:szCs w:val="22"/>
        </w:rPr>
        <w:t>,</w:t>
      </w:r>
      <w:r w:rsidRPr="00BC24BC">
        <w:rPr>
          <w:sz w:val="22"/>
          <w:szCs w:val="22"/>
        </w:rPr>
        <w:t xml:space="preserve"> uvedené v příloze</w:t>
      </w:r>
    </w:p>
    <w:p w14:paraId="66154D64" w14:textId="77777777" w:rsidR="00925E28" w:rsidRDefault="00925E28" w:rsidP="00D12EBE">
      <w:pPr>
        <w:spacing w:after="20"/>
        <w:rPr>
          <w:szCs w:val="24"/>
        </w:rPr>
      </w:pPr>
    </w:p>
    <w:p w14:paraId="5A46E08D" w14:textId="77777777" w:rsidR="00BC24BC" w:rsidRDefault="00925E28" w:rsidP="00D12EBE">
      <w:pPr>
        <w:spacing w:after="20"/>
        <w:rPr>
          <w:szCs w:val="24"/>
        </w:rPr>
      </w:pPr>
      <w:r>
        <w:rPr>
          <w:szCs w:val="24"/>
        </w:rPr>
        <w:t xml:space="preserve">V grafu je znázorněna míra inflace ČR, Polska a pro lepší přehled i EU (28). ČR měla v roce 2008 inflaci 6,3, což je ve srovnání s ostatními zeměmi velmi vysoká. V roce 2009 v ČR inflace markantně </w:t>
      </w:r>
      <w:r w:rsidR="0034551E">
        <w:rPr>
          <w:szCs w:val="24"/>
        </w:rPr>
        <w:t xml:space="preserve">klesla </w:t>
      </w:r>
      <w:r w:rsidR="00A16F00">
        <w:rPr>
          <w:szCs w:val="24"/>
        </w:rPr>
        <w:t>a to až na hodnotu 0,6. Do</w:t>
      </w:r>
      <w:r w:rsidR="0034551E">
        <w:rPr>
          <w:szCs w:val="24"/>
        </w:rPr>
        <w:t xml:space="preserve"> roku 2012 opět mírně stoupla. </w:t>
      </w:r>
      <w:r w:rsidR="00A16F00">
        <w:rPr>
          <w:szCs w:val="24"/>
        </w:rPr>
        <w:t>V Polsko klesla míra inflace mezi roky 2009 a 2010 o hodnotu 1,3 a v roce na 2012 zase mírně stoupla. Od</w:t>
      </w:r>
      <w:r w:rsidR="0034551E">
        <w:rPr>
          <w:szCs w:val="24"/>
        </w:rPr>
        <w:t xml:space="preserve"> roku 2012 sledujeme</w:t>
      </w:r>
      <w:r w:rsidR="00A16F00">
        <w:rPr>
          <w:szCs w:val="24"/>
        </w:rPr>
        <w:t xml:space="preserve"> rapidní</w:t>
      </w:r>
      <w:r w:rsidR="0034551E">
        <w:rPr>
          <w:szCs w:val="24"/>
        </w:rPr>
        <w:t xml:space="preserve"> pokles u obou zemí. Obě země jsou na konci sledovaného období pod úrovní EU průměru. </w:t>
      </w:r>
    </w:p>
    <w:p w14:paraId="6C215849" w14:textId="77777777" w:rsidR="00BC24BC" w:rsidRDefault="00BC24BC" w:rsidP="00625F4B">
      <w:pPr>
        <w:spacing w:after="20"/>
        <w:jc w:val="left"/>
        <w:rPr>
          <w:szCs w:val="24"/>
        </w:rPr>
      </w:pPr>
    </w:p>
    <w:p w14:paraId="5644EB45" w14:textId="77777777" w:rsidR="00BC24BC" w:rsidRPr="00FE0ED9" w:rsidRDefault="00BC24BC" w:rsidP="00625F4B">
      <w:pPr>
        <w:spacing w:after="20"/>
        <w:rPr>
          <w:b/>
          <w:szCs w:val="24"/>
          <w:u w:val="single"/>
        </w:rPr>
      </w:pPr>
      <w:r w:rsidRPr="00FE0ED9">
        <w:rPr>
          <w:b/>
          <w:szCs w:val="24"/>
          <w:u w:val="single"/>
        </w:rPr>
        <w:t>Obecná míra nezaměstnanosti</w:t>
      </w:r>
    </w:p>
    <w:p w14:paraId="2D028E8F" w14:textId="77777777" w:rsidR="00BC24BC" w:rsidRDefault="00BC24BC" w:rsidP="00625F4B">
      <w:pPr>
        <w:spacing w:after="20"/>
        <w:rPr>
          <w:szCs w:val="24"/>
        </w:rPr>
      </w:pPr>
      <w:r w:rsidRPr="008F3364">
        <w:rPr>
          <w:i/>
          <w:szCs w:val="24"/>
        </w:rPr>
        <w:t>Obecná míra nezaměstnanosti (ILO)</w:t>
      </w:r>
      <w:r w:rsidRPr="008F3364">
        <w:rPr>
          <w:szCs w:val="24"/>
        </w:rPr>
        <w:t xml:space="preserve"> je počítána jako podíl počtu nezaměstnaných na celkové pracovní síle (v procentech), kde čitatel i jmenovatel jsou ukazatele konstruované podle mezinárodních definic a doporučení (</w:t>
      </w:r>
      <w:proofErr w:type="spellStart"/>
      <w:r w:rsidRPr="008F3364">
        <w:rPr>
          <w:szCs w:val="24"/>
        </w:rPr>
        <w:t>Eurostatu</w:t>
      </w:r>
      <w:proofErr w:type="spellEnd"/>
      <w:r w:rsidRPr="008F3364">
        <w:rPr>
          <w:szCs w:val="24"/>
        </w:rPr>
        <w:t xml:space="preserve"> a Mezinárodní organizace práce ILO). Jedná se o odhady z výběrového šetření pracovních sil. Předmětem šetření jsou všechny osoby obvykle bydlící v soukromých domácnostech. Šetření se</w:t>
      </w:r>
      <w:r>
        <w:rPr>
          <w:rFonts w:ascii="Arial" w:hAnsi="Arial" w:cs="Arial"/>
          <w:color w:val="262626"/>
          <w:sz w:val="26"/>
          <w:szCs w:val="26"/>
          <w:lang w:val="en-US"/>
        </w:rPr>
        <w:t xml:space="preserve"> </w:t>
      </w:r>
      <w:r w:rsidRPr="008F3364">
        <w:rPr>
          <w:szCs w:val="24"/>
        </w:rPr>
        <w:t>nevztahuje na osoby bydlící dlouhodobě v hromadných ubytovacích zařízeních. Z toho důvodu jsou údaje za určité skupiny obyvatelstva, zejména za cizí státní příslušníky žijící a pracující na území republiky, k dispozici v omezené míře.</w:t>
      </w:r>
    </w:p>
    <w:p w14:paraId="5623CB48" w14:textId="77777777" w:rsidR="00A94F9D" w:rsidRDefault="008F5FA2" w:rsidP="00625F4B">
      <w:pPr>
        <w:spacing w:after="20"/>
        <w:rPr>
          <w:szCs w:val="24"/>
        </w:rPr>
      </w:pPr>
      <w:r>
        <w:rPr>
          <w:szCs w:val="24"/>
        </w:rPr>
        <w:t>(</w:t>
      </w:r>
      <w:proofErr w:type="spellStart"/>
      <w:r>
        <w:rPr>
          <w:szCs w:val="24"/>
        </w:rPr>
        <w:t>bussinesinfo</w:t>
      </w:r>
      <w:proofErr w:type="spellEnd"/>
      <w:r w:rsidR="0054160B">
        <w:rPr>
          <w:szCs w:val="24"/>
        </w:rPr>
        <w:t>, 2014)</w:t>
      </w:r>
    </w:p>
    <w:p w14:paraId="363A6000" w14:textId="77777777" w:rsidR="00A94F9D" w:rsidRPr="00A94F9D" w:rsidRDefault="00A94F9D" w:rsidP="00625F4B">
      <w:pPr>
        <w:spacing w:after="20"/>
        <w:rPr>
          <w:szCs w:val="24"/>
        </w:rPr>
      </w:pPr>
      <w:r>
        <w:rPr>
          <w:szCs w:val="24"/>
        </w:rPr>
        <w:t xml:space="preserve"> </w:t>
      </w:r>
      <w:proofErr w:type="spellStart"/>
      <w:r w:rsidR="00E80E5D">
        <w:rPr>
          <w:szCs w:val="24"/>
        </w:rPr>
        <w:t>Krameš</w:t>
      </w:r>
      <w:proofErr w:type="spellEnd"/>
      <w:r w:rsidR="008F5FA2">
        <w:rPr>
          <w:szCs w:val="24"/>
        </w:rPr>
        <w:t xml:space="preserve"> (</w:t>
      </w:r>
      <w:r w:rsidR="00E80E5D">
        <w:rPr>
          <w:szCs w:val="24"/>
        </w:rPr>
        <w:t>2008, s. 75) popisuje nezaměstnanost takto: „Nezamě</w:t>
      </w:r>
      <w:r w:rsidRPr="00A94F9D">
        <w:rPr>
          <w:szCs w:val="24"/>
        </w:rPr>
        <w:t>stnanost (unemployment) doprovází tržní ekonomiky více než 200 let. Existuje v tržní ek</w:t>
      </w:r>
      <w:r w:rsidR="00E80E5D">
        <w:rPr>
          <w:szCs w:val="24"/>
        </w:rPr>
        <w:t>onomice i v podmínkách plné zaměstnanosti práce.” Nezaměs</w:t>
      </w:r>
      <w:r w:rsidRPr="00A94F9D">
        <w:rPr>
          <w:szCs w:val="24"/>
        </w:rPr>
        <w:t xml:space="preserve">tnanými osobami lze tedy nazvat, jak uvádí </w:t>
      </w:r>
      <w:proofErr w:type="spellStart"/>
      <w:r w:rsidRPr="00A94F9D">
        <w:rPr>
          <w:szCs w:val="24"/>
        </w:rPr>
        <w:t>Krameš</w:t>
      </w:r>
      <w:proofErr w:type="spellEnd"/>
      <w:r w:rsidRPr="00A94F9D">
        <w:rPr>
          <w:szCs w:val="24"/>
        </w:rPr>
        <w:t>, ty osoby, k</w:t>
      </w:r>
      <w:r w:rsidR="00E80E5D">
        <w:rPr>
          <w:szCs w:val="24"/>
        </w:rPr>
        <w:t>teré jsou v tzv. produktivním věku, tzn. osoby ve věku 15 - 64 let, které zároveň splňují základní podmínky ř</w:t>
      </w:r>
      <w:r w:rsidRPr="00A94F9D">
        <w:rPr>
          <w:szCs w:val="24"/>
        </w:rPr>
        <w:t>íkající, že osoba</w:t>
      </w:r>
      <w:r w:rsidR="00E80E5D">
        <w:rPr>
          <w:szCs w:val="24"/>
        </w:rPr>
        <w:t xml:space="preserve"> již není studentem ZŠ, zároveň musí práci aktivně</w:t>
      </w:r>
      <w:r w:rsidRPr="00A94F9D">
        <w:rPr>
          <w:szCs w:val="24"/>
        </w:rPr>
        <w:t xml:space="preserve"> vyhledávat, být práceschopná, a </w:t>
      </w:r>
      <w:r w:rsidR="00E80E5D">
        <w:rPr>
          <w:szCs w:val="24"/>
        </w:rPr>
        <w:t>zároveň</w:t>
      </w:r>
      <w:r w:rsidRPr="00A94F9D">
        <w:rPr>
          <w:szCs w:val="24"/>
        </w:rPr>
        <w:t xml:space="preserve"> musí být ochotna a sch</w:t>
      </w:r>
      <w:r w:rsidR="00E80E5D">
        <w:rPr>
          <w:szCs w:val="24"/>
        </w:rPr>
        <w:t>opna okamžitého nástupu do zamě</w:t>
      </w:r>
      <w:r w:rsidRPr="00A94F9D">
        <w:rPr>
          <w:szCs w:val="24"/>
        </w:rPr>
        <w:t>stnání.</w:t>
      </w:r>
      <w:r w:rsidR="00E80E5D">
        <w:rPr>
          <w:szCs w:val="24"/>
        </w:rPr>
        <w:t xml:space="preserve"> Autor dodává, že pokud není ně</w:t>
      </w:r>
      <w:r w:rsidRPr="00A94F9D">
        <w:rPr>
          <w:szCs w:val="24"/>
        </w:rPr>
        <w:t>která z podmínek dodržena, os</w:t>
      </w:r>
      <w:r w:rsidR="00E80E5D">
        <w:rPr>
          <w:szCs w:val="24"/>
        </w:rPr>
        <w:t>oba se zahrnuje mezi osoby zaměstnané, popř</w:t>
      </w:r>
      <w:r w:rsidRPr="00A94F9D">
        <w:rPr>
          <w:szCs w:val="24"/>
        </w:rPr>
        <w:t xml:space="preserve">. spadá do skupiny ekonomicky neaktivního obyvatelstva. </w:t>
      </w:r>
    </w:p>
    <w:p w14:paraId="7881A77A" w14:textId="77777777" w:rsidR="00A94F9D" w:rsidRDefault="008F5FA2" w:rsidP="00D12EBE">
      <w:pPr>
        <w:spacing w:after="20"/>
        <w:rPr>
          <w:szCs w:val="24"/>
        </w:rPr>
      </w:pPr>
      <w:proofErr w:type="spellStart"/>
      <w:r>
        <w:rPr>
          <w:szCs w:val="24"/>
        </w:rPr>
        <w:t>Jurečka</w:t>
      </w:r>
      <w:proofErr w:type="spellEnd"/>
      <w:r>
        <w:rPr>
          <w:szCs w:val="24"/>
        </w:rPr>
        <w:t xml:space="preserve"> (</w:t>
      </w:r>
      <w:r w:rsidR="00A94F9D" w:rsidRPr="00A94F9D">
        <w:rPr>
          <w:szCs w:val="24"/>
        </w:rPr>
        <w:t>201</w:t>
      </w:r>
      <w:r w:rsidR="00EA4163">
        <w:rPr>
          <w:szCs w:val="24"/>
        </w:rPr>
        <w:t>0, s. 136) upozorňuje na dva typy míry nezaměstnanosti: „První je označ</w:t>
      </w:r>
      <w:r w:rsidR="00A94F9D" w:rsidRPr="00A94F9D">
        <w:rPr>
          <w:szCs w:val="24"/>
        </w:rPr>
        <w:t>ová</w:t>
      </w:r>
      <w:r w:rsidR="00EA4163">
        <w:rPr>
          <w:szCs w:val="24"/>
        </w:rPr>
        <w:t>n jako registrovaná míra nezamě</w:t>
      </w:r>
      <w:r w:rsidR="00A94F9D" w:rsidRPr="00A94F9D">
        <w:rPr>
          <w:szCs w:val="24"/>
        </w:rPr>
        <w:t>stnanosti,</w:t>
      </w:r>
      <w:r w:rsidR="00EA4163">
        <w:rPr>
          <w:szCs w:val="24"/>
        </w:rPr>
        <w:t>” jejíž hodnoty jsou, dle Jureč</w:t>
      </w:r>
      <w:r w:rsidR="00A94F9D" w:rsidRPr="00A94F9D">
        <w:rPr>
          <w:szCs w:val="24"/>
        </w:rPr>
        <w:t>ky</w:t>
      </w:r>
      <w:r w:rsidR="00EA4163">
        <w:rPr>
          <w:szCs w:val="24"/>
        </w:rPr>
        <w:t>, získávány pomocí statistik úřadů</w:t>
      </w:r>
      <w:r w:rsidR="00A94F9D" w:rsidRPr="00A94F9D">
        <w:rPr>
          <w:szCs w:val="24"/>
        </w:rPr>
        <w:t xml:space="preserve"> práce a jsou nadále zpracovávány. </w:t>
      </w:r>
      <w:r w:rsidR="00EA4163">
        <w:rPr>
          <w:szCs w:val="24"/>
        </w:rPr>
        <w:t>„Druhý ukazatel vychází z dat Českého statistického úřadu (ČSÚ) a označ</w:t>
      </w:r>
      <w:r w:rsidR="00A94F9D" w:rsidRPr="00A94F9D">
        <w:rPr>
          <w:szCs w:val="24"/>
        </w:rPr>
        <w:t>uje</w:t>
      </w:r>
      <w:r w:rsidR="00EA4163">
        <w:rPr>
          <w:szCs w:val="24"/>
        </w:rPr>
        <w:t>me ho názvem obecná míra nezamě</w:t>
      </w:r>
      <w:r w:rsidR="00A94F9D" w:rsidRPr="00A94F9D">
        <w:rPr>
          <w:szCs w:val="24"/>
        </w:rPr>
        <w:t>stnanosti.”, a</w:t>
      </w:r>
      <w:r w:rsidR="00EA4163">
        <w:rPr>
          <w:szCs w:val="24"/>
        </w:rPr>
        <w:t>utor dodává, že se využívají př</w:t>
      </w:r>
      <w:r w:rsidR="00A94F9D" w:rsidRPr="00A94F9D">
        <w:rPr>
          <w:szCs w:val="24"/>
        </w:rPr>
        <w:t xml:space="preserve">edevším pro mezinárodní srovnání </w:t>
      </w:r>
    </w:p>
    <w:p w14:paraId="2102FE77" w14:textId="77777777" w:rsidR="00D23CCB" w:rsidRDefault="00D23CCB" w:rsidP="00D12EBE">
      <w:pPr>
        <w:spacing w:after="20"/>
        <w:rPr>
          <w:szCs w:val="24"/>
        </w:rPr>
      </w:pPr>
    </w:p>
    <w:p w14:paraId="0AE8DA8C" w14:textId="77777777" w:rsidR="00D23CCB" w:rsidRPr="00D23CCB" w:rsidRDefault="00EA4163" w:rsidP="00D12EBE">
      <w:pPr>
        <w:spacing w:after="20"/>
        <w:rPr>
          <w:b/>
          <w:szCs w:val="24"/>
          <w:u w:val="single"/>
        </w:rPr>
      </w:pPr>
      <w:r>
        <w:rPr>
          <w:b/>
          <w:szCs w:val="24"/>
          <w:u w:val="single"/>
        </w:rPr>
        <w:t>Plná zaměstnanost a přirozená míra nezamě</w:t>
      </w:r>
      <w:r w:rsidR="00D23CCB" w:rsidRPr="00D23CCB">
        <w:rPr>
          <w:b/>
          <w:szCs w:val="24"/>
          <w:u w:val="single"/>
        </w:rPr>
        <w:t xml:space="preserve">stnanosti </w:t>
      </w:r>
    </w:p>
    <w:p w14:paraId="2214F2FF" w14:textId="77777777" w:rsidR="00D23CCB" w:rsidRPr="00D23CCB" w:rsidRDefault="00EA4163" w:rsidP="00D12EBE">
      <w:pPr>
        <w:widowControl w:val="0"/>
        <w:autoSpaceDE w:val="0"/>
        <w:autoSpaceDN w:val="0"/>
        <w:adjustRightInd w:val="0"/>
        <w:spacing w:after="240"/>
        <w:rPr>
          <w:szCs w:val="24"/>
        </w:rPr>
      </w:pPr>
      <w:r>
        <w:rPr>
          <w:szCs w:val="24"/>
        </w:rPr>
        <w:t>Jak vysvě</w:t>
      </w:r>
      <w:r w:rsidR="00D23CCB" w:rsidRPr="00D23CCB">
        <w:rPr>
          <w:szCs w:val="24"/>
        </w:rPr>
        <w:t xml:space="preserve">tluje Pavelka (2010, </w:t>
      </w:r>
      <w:r w:rsidR="00971B33" w:rsidRPr="00D23CCB">
        <w:rPr>
          <w:szCs w:val="24"/>
        </w:rPr>
        <w:t>s. 118</w:t>
      </w:r>
      <w:r w:rsidR="00D23CCB" w:rsidRPr="00D23CCB">
        <w:rPr>
          <w:szCs w:val="24"/>
        </w:rPr>
        <w:t>) „pln</w:t>
      </w:r>
      <w:r>
        <w:rPr>
          <w:szCs w:val="24"/>
        </w:rPr>
        <w:t>ou zaměstnanost můžeme definovat jako zamě</w:t>
      </w:r>
      <w:r w:rsidR="00D23CCB" w:rsidRPr="00D23CCB">
        <w:rPr>
          <w:szCs w:val="24"/>
        </w:rPr>
        <w:t>stnanost, které je dosaženo, jestli</w:t>
      </w:r>
      <w:r>
        <w:rPr>
          <w:szCs w:val="24"/>
        </w:rPr>
        <w:t>že ekonomika pracuje na hladině</w:t>
      </w:r>
      <w:r w:rsidR="00D23CCB" w:rsidRPr="00D23CCB">
        <w:rPr>
          <w:szCs w:val="24"/>
        </w:rPr>
        <w:t xml:space="preserve"> pot</w:t>
      </w:r>
      <w:r>
        <w:rPr>
          <w:szCs w:val="24"/>
        </w:rPr>
        <w:t>encionálního produktu. Obráceně, z hlediska míry nezaměs</w:t>
      </w:r>
      <w:r w:rsidR="00D23CCB" w:rsidRPr="00D23CCB">
        <w:rPr>
          <w:szCs w:val="24"/>
        </w:rPr>
        <w:t xml:space="preserve">tnanosti, je potenciální produkt takový, </w:t>
      </w:r>
      <w:r>
        <w:rPr>
          <w:szCs w:val="24"/>
        </w:rPr>
        <w:t>který je dosahován při tzv. př</w:t>
      </w:r>
      <w:r w:rsidR="00D23CCB" w:rsidRPr="00D23CCB">
        <w:rPr>
          <w:szCs w:val="24"/>
        </w:rPr>
        <w:t>irozené m</w:t>
      </w:r>
      <w:r>
        <w:rPr>
          <w:szCs w:val="24"/>
        </w:rPr>
        <w:t xml:space="preserve">íře nezaměstnanosti. </w:t>
      </w:r>
      <w:r w:rsidR="00971B33">
        <w:rPr>
          <w:szCs w:val="24"/>
        </w:rPr>
        <w:t>Čili přestože</w:t>
      </w:r>
      <w:r>
        <w:rPr>
          <w:szCs w:val="24"/>
        </w:rPr>
        <w:t xml:space="preserve"> existuje plná zamě</w:t>
      </w:r>
      <w:r w:rsidR="00D23CCB" w:rsidRPr="00D23CCB">
        <w:rPr>
          <w:szCs w:val="24"/>
        </w:rPr>
        <w:t>stnanost</w:t>
      </w:r>
      <w:r w:rsidR="00971B33">
        <w:rPr>
          <w:szCs w:val="24"/>
        </w:rPr>
        <w:t>,</w:t>
      </w:r>
      <w:r w:rsidR="00D23CCB" w:rsidRPr="00D23CCB">
        <w:rPr>
          <w:szCs w:val="24"/>
        </w:rPr>
        <w:t xml:space="preserve"> exi</w:t>
      </w:r>
      <w:r>
        <w:rPr>
          <w:szCs w:val="24"/>
        </w:rPr>
        <w:t>stuje stále i jistá míra nezaměstnanosti a tu nazýváme nezaměstnaností přirozenou.“ Výše zmíněná frikční a strukturální nezaměstnanost tvoří právě tu onu přirozenou míru nezaměstnanosti. Nepatří sem cyklická nezamě</w:t>
      </w:r>
      <w:r w:rsidR="00D23CCB" w:rsidRPr="00D23CCB">
        <w:rPr>
          <w:szCs w:val="24"/>
        </w:rPr>
        <w:t>st</w:t>
      </w:r>
      <w:r>
        <w:rPr>
          <w:szCs w:val="24"/>
        </w:rPr>
        <w:t>nanost, protože „ta vzniká z dů</w:t>
      </w:r>
      <w:r w:rsidR="00D23CCB" w:rsidRPr="00D23CCB">
        <w:rPr>
          <w:szCs w:val="24"/>
        </w:rPr>
        <w:t>vodu cyklického kolísání ekonomiky kolem svého potenciálního produktu“ Pavel</w:t>
      </w:r>
      <w:r>
        <w:rPr>
          <w:szCs w:val="24"/>
        </w:rPr>
        <w:t>kovými slovy (2010, s. 118). Přirozená míra nezamě</w:t>
      </w:r>
      <w:r w:rsidR="00D23CCB" w:rsidRPr="00D23CCB">
        <w:rPr>
          <w:szCs w:val="24"/>
        </w:rPr>
        <w:t>stnanos</w:t>
      </w:r>
      <w:r>
        <w:rPr>
          <w:szCs w:val="24"/>
        </w:rPr>
        <w:t>ti s sebou nenese žádná stálá č</w:t>
      </w:r>
      <w:r w:rsidR="00D23CCB" w:rsidRPr="00D23CCB">
        <w:rPr>
          <w:szCs w:val="24"/>
        </w:rPr>
        <w:t>ísla. Odvíjí se</w:t>
      </w:r>
      <w:r>
        <w:rPr>
          <w:szCs w:val="24"/>
        </w:rPr>
        <w:t xml:space="preserve"> od dané země a daného č</w:t>
      </w:r>
      <w:r w:rsidR="00D23CCB" w:rsidRPr="00D23CCB">
        <w:rPr>
          <w:szCs w:val="24"/>
        </w:rPr>
        <w:t>aso</w:t>
      </w:r>
      <w:r>
        <w:rPr>
          <w:szCs w:val="24"/>
        </w:rPr>
        <w:t>vého úseku. Mezi faktory ovlivňující přirozenou míru nezaměstnanosti se mohou řadit například demografické změny, vládní politika nebo třeba strukturální změ</w:t>
      </w:r>
      <w:r w:rsidR="00D23CCB" w:rsidRPr="00D23CCB">
        <w:rPr>
          <w:szCs w:val="24"/>
        </w:rPr>
        <w:t xml:space="preserve">ny v ekonomice. </w:t>
      </w:r>
    </w:p>
    <w:p w14:paraId="18BAD4B7" w14:textId="77777777" w:rsidR="009A3FE8" w:rsidRDefault="009A3FE8" w:rsidP="00D12EBE">
      <w:pPr>
        <w:spacing w:after="20"/>
        <w:rPr>
          <w:szCs w:val="24"/>
        </w:rPr>
      </w:pPr>
    </w:p>
    <w:p w14:paraId="527F2D2C" w14:textId="77777777" w:rsidR="00AC5688" w:rsidRDefault="00AC5688" w:rsidP="00D12EBE">
      <w:pPr>
        <w:spacing w:after="20"/>
        <w:rPr>
          <w:b/>
          <w:szCs w:val="24"/>
          <w:u w:val="single"/>
        </w:rPr>
      </w:pPr>
      <w:r w:rsidRPr="00AC5688">
        <w:rPr>
          <w:b/>
          <w:szCs w:val="24"/>
          <w:u w:val="single"/>
        </w:rPr>
        <w:t xml:space="preserve">Typy </w:t>
      </w:r>
      <w:r>
        <w:rPr>
          <w:b/>
          <w:szCs w:val="24"/>
          <w:u w:val="single"/>
        </w:rPr>
        <w:t>nezaměstnanosti</w:t>
      </w:r>
    </w:p>
    <w:p w14:paraId="73F4CFC4" w14:textId="77777777" w:rsidR="00AC5688" w:rsidRDefault="00AC5688" w:rsidP="00D12EBE">
      <w:pPr>
        <w:spacing w:after="20"/>
        <w:rPr>
          <w:b/>
          <w:szCs w:val="24"/>
          <w:u w:val="single"/>
        </w:rPr>
      </w:pPr>
    </w:p>
    <w:p w14:paraId="11D389CB" w14:textId="77777777" w:rsidR="00AC5688" w:rsidRPr="00AC5688" w:rsidRDefault="00EA4163" w:rsidP="00D12EBE">
      <w:pPr>
        <w:spacing w:after="20"/>
        <w:rPr>
          <w:szCs w:val="24"/>
        </w:rPr>
      </w:pPr>
      <w:r>
        <w:rPr>
          <w:szCs w:val="24"/>
        </w:rPr>
        <w:t>Jak vysvě</w:t>
      </w:r>
      <w:r w:rsidR="00AC5688" w:rsidRPr="00AC5688">
        <w:rPr>
          <w:szCs w:val="24"/>
        </w:rPr>
        <w:t xml:space="preserve">tluje Pavelka (2010, </w:t>
      </w:r>
      <w:r w:rsidR="00971B33" w:rsidRPr="00AC5688">
        <w:rPr>
          <w:szCs w:val="24"/>
        </w:rPr>
        <w:t>s. 116</w:t>
      </w:r>
      <w:r w:rsidR="00AC5688" w:rsidRPr="00AC5688">
        <w:rPr>
          <w:szCs w:val="24"/>
        </w:rPr>
        <w:t xml:space="preserve">). Ekonomická teorie rozlišuje z hlediska </w:t>
      </w:r>
    </w:p>
    <w:p w14:paraId="7B59E053" w14:textId="77777777" w:rsidR="00AC5688" w:rsidRDefault="00EA4163" w:rsidP="00D12EBE">
      <w:pPr>
        <w:spacing w:after="20"/>
        <w:rPr>
          <w:szCs w:val="24"/>
        </w:rPr>
      </w:pPr>
      <w:r>
        <w:rPr>
          <w:szCs w:val="24"/>
        </w:rPr>
        <w:t>příčiny tři základní typy nezamě</w:t>
      </w:r>
      <w:r w:rsidR="00971B33">
        <w:rPr>
          <w:szCs w:val="24"/>
        </w:rPr>
        <w:t>stnanosti a tě</w:t>
      </w:r>
      <w:r>
        <w:rPr>
          <w:szCs w:val="24"/>
        </w:rPr>
        <w:t>mi jsou: frikč</w:t>
      </w:r>
      <w:r w:rsidR="00AC5688" w:rsidRPr="00AC5688">
        <w:rPr>
          <w:szCs w:val="24"/>
        </w:rPr>
        <w:t xml:space="preserve">ní, strukturální a cyklická. </w:t>
      </w:r>
    </w:p>
    <w:p w14:paraId="41FFB71B" w14:textId="77777777" w:rsidR="00AC5688" w:rsidRDefault="00AC5688" w:rsidP="00D12EBE">
      <w:pPr>
        <w:spacing w:after="20"/>
        <w:rPr>
          <w:szCs w:val="24"/>
        </w:rPr>
      </w:pPr>
    </w:p>
    <w:p w14:paraId="0A205077" w14:textId="77777777" w:rsidR="00AC5688" w:rsidRPr="00AC5688" w:rsidRDefault="00EA4163" w:rsidP="00D12EBE">
      <w:pPr>
        <w:widowControl w:val="0"/>
        <w:autoSpaceDE w:val="0"/>
        <w:autoSpaceDN w:val="0"/>
        <w:adjustRightInd w:val="0"/>
        <w:spacing w:after="240"/>
        <w:rPr>
          <w:i/>
          <w:szCs w:val="24"/>
        </w:rPr>
      </w:pPr>
      <w:r>
        <w:rPr>
          <w:i/>
          <w:szCs w:val="24"/>
        </w:rPr>
        <w:t>1. Frikč</w:t>
      </w:r>
      <w:r w:rsidR="00AC5688" w:rsidRPr="00AC5688">
        <w:rPr>
          <w:i/>
          <w:szCs w:val="24"/>
        </w:rPr>
        <w:t xml:space="preserve">ní nezaměstnanost </w:t>
      </w:r>
    </w:p>
    <w:p w14:paraId="14BBADEA" w14:textId="77777777" w:rsidR="00AC5688" w:rsidRDefault="00EA4163" w:rsidP="00D12EBE">
      <w:pPr>
        <w:widowControl w:val="0"/>
        <w:autoSpaceDE w:val="0"/>
        <w:autoSpaceDN w:val="0"/>
        <w:adjustRightInd w:val="0"/>
        <w:spacing w:after="240"/>
        <w:rPr>
          <w:szCs w:val="24"/>
        </w:rPr>
      </w:pPr>
      <w:r>
        <w:rPr>
          <w:szCs w:val="24"/>
        </w:rPr>
        <w:t>Frikční nezaměstnanost je vlastně jinými slovy dočasná nezamě</w:t>
      </w:r>
      <w:r w:rsidR="00AC5688" w:rsidRPr="00AC5688">
        <w:rPr>
          <w:szCs w:val="24"/>
        </w:rPr>
        <w:t>stnanost</w:t>
      </w:r>
      <w:r>
        <w:rPr>
          <w:szCs w:val="24"/>
        </w:rPr>
        <w:t>. Tento typ nezaměstnanosti probíhá většinou v době, kdy člověk přechází z jednoho zamě</w:t>
      </w:r>
      <w:r w:rsidR="00AC5688" w:rsidRPr="00AC5688">
        <w:rPr>
          <w:szCs w:val="24"/>
        </w:rPr>
        <w:t xml:space="preserve">stnání do druhého a hledá </w:t>
      </w:r>
      <w:r>
        <w:rPr>
          <w:szCs w:val="24"/>
        </w:rPr>
        <w:t>tu nejlepší variantu. Být frikčně nezaměstnaný vlastně</w:t>
      </w:r>
      <w:r w:rsidR="00AC5688" w:rsidRPr="00AC5688">
        <w:rPr>
          <w:szCs w:val="24"/>
        </w:rPr>
        <w:t xml:space="preserve"> zname</w:t>
      </w:r>
      <w:r>
        <w:rPr>
          <w:szCs w:val="24"/>
        </w:rPr>
        <w:t>ná hledat nové místo, nové zaměstnání. Do této situace se může člověk dostat buď v případě, že dostane výpověď, dobrovolně podá výpověď nebo například právě ukončil studium. Ve všech případech se jedná vlastně jen o určitou př</w:t>
      </w:r>
      <w:r w:rsidR="00AC5688" w:rsidRPr="00AC5688">
        <w:rPr>
          <w:szCs w:val="24"/>
        </w:rPr>
        <w:t>ec</w:t>
      </w:r>
      <w:r w:rsidR="00971B33">
        <w:rPr>
          <w:szCs w:val="24"/>
        </w:rPr>
        <w:t>hodnou dobu hledání nového zamě</w:t>
      </w:r>
      <w:r w:rsidR="00AC5688" w:rsidRPr="00AC5688">
        <w:rPr>
          <w:szCs w:val="24"/>
        </w:rPr>
        <w:t xml:space="preserve">stnání. </w:t>
      </w:r>
    </w:p>
    <w:p w14:paraId="7F0BA4D3" w14:textId="77777777" w:rsidR="00AC5688" w:rsidRDefault="00971B33" w:rsidP="00D12EBE">
      <w:pPr>
        <w:widowControl w:val="0"/>
        <w:autoSpaceDE w:val="0"/>
        <w:autoSpaceDN w:val="0"/>
        <w:adjustRightInd w:val="0"/>
        <w:spacing w:after="240"/>
        <w:rPr>
          <w:i/>
          <w:szCs w:val="24"/>
        </w:rPr>
      </w:pPr>
      <w:r>
        <w:rPr>
          <w:i/>
          <w:szCs w:val="24"/>
        </w:rPr>
        <w:t>2. Strukturální nezamě</w:t>
      </w:r>
      <w:r w:rsidR="00AC5688" w:rsidRPr="00AC5688">
        <w:rPr>
          <w:i/>
          <w:szCs w:val="24"/>
        </w:rPr>
        <w:t xml:space="preserve">stnanost </w:t>
      </w:r>
    </w:p>
    <w:p w14:paraId="7CBF230B" w14:textId="77777777" w:rsidR="00AC5688" w:rsidRDefault="00AC5688" w:rsidP="00D12EBE">
      <w:pPr>
        <w:widowControl w:val="0"/>
        <w:autoSpaceDE w:val="0"/>
        <w:autoSpaceDN w:val="0"/>
        <w:adjustRightInd w:val="0"/>
        <w:spacing w:after="240"/>
        <w:rPr>
          <w:szCs w:val="24"/>
        </w:rPr>
      </w:pPr>
      <w:r w:rsidRPr="00AC5688">
        <w:rPr>
          <w:szCs w:val="24"/>
        </w:rPr>
        <w:t>Vzhlede</w:t>
      </w:r>
      <w:r w:rsidR="00971B33">
        <w:rPr>
          <w:szCs w:val="24"/>
        </w:rPr>
        <w:t>m k neustálým strukturálním změ</w:t>
      </w:r>
      <w:r w:rsidRPr="00AC5688">
        <w:rPr>
          <w:szCs w:val="24"/>
        </w:rPr>
        <w:t>nám, kterými se v e</w:t>
      </w:r>
      <w:r w:rsidR="00971B33">
        <w:rPr>
          <w:szCs w:val="24"/>
        </w:rPr>
        <w:t>konomice rozumí zániky a rozšiřování různých odvě</w:t>
      </w:r>
      <w:r w:rsidRPr="00AC5688">
        <w:rPr>
          <w:szCs w:val="24"/>
        </w:rPr>
        <w:t>tví, se</w:t>
      </w:r>
      <w:r w:rsidR="00971B33">
        <w:rPr>
          <w:szCs w:val="24"/>
        </w:rPr>
        <w:t xml:space="preserve"> stávají lidé tzv. strukturálně nezamě</w:t>
      </w:r>
      <w:r w:rsidRPr="00AC5688">
        <w:rPr>
          <w:szCs w:val="24"/>
        </w:rPr>
        <w:t>stnanými. Což v pr</w:t>
      </w:r>
      <w:r w:rsidR="00971B33">
        <w:rPr>
          <w:szCs w:val="24"/>
        </w:rPr>
        <w:t>axi znamená, pokud zanikne odvětví lesního hospodářství, zaměstnanec tohoto odvě</w:t>
      </w:r>
      <w:r w:rsidRPr="00AC5688">
        <w:rPr>
          <w:szCs w:val="24"/>
        </w:rPr>
        <w:t xml:space="preserve">tví </w:t>
      </w:r>
      <w:r w:rsidR="00971B33">
        <w:rPr>
          <w:szCs w:val="24"/>
        </w:rPr>
        <w:t>půjde tě</w:t>
      </w:r>
      <w:r w:rsidRPr="00AC5688">
        <w:rPr>
          <w:szCs w:val="24"/>
        </w:rPr>
        <w:t>žko bez jakékoliv r</w:t>
      </w:r>
      <w:r w:rsidR="00971B33">
        <w:rPr>
          <w:szCs w:val="24"/>
        </w:rPr>
        <w:t>ekvalifikace pracovat do rozšiřujícího se odvětví peněžnictví a pojišť</w:t>
      </w:r>
      <w:r w:rsidRPr="00AC5688">
        <w:rPr>
          <w:szCs w:val="24"/>
        </w:rPr>
        <w:t>ovnictví. Tudíž v</w:t>
      </w:r>
      <w:r w:rsidR="00971B33">
        <w:rPr>
          <w:szCs w:val="24"/>
        </w:rPr>
        <w:t xml:space="preserve"> tomto případě je pak člověk strukturálně nezaměstnaný. Jak vysvě</w:t>
      </w:r>
      <w:r w:rsidRPr="00AC5688">
        <w:rPr>
          <w:szCs w:val="24"/>
        </w:rPr>
        <w:t>tluje</w:t>
      </w:r>
      <w:r w:rsidR="008F5FA2">
        <w:rPr>
          <w:szCs w:val="24"/>
        </w:rPr>
        <w:t xml:space="preserve"> Pavelka (2010, s. 116) </w:t>
      </w:r>
      <w:r w:rsidR="00971B33">
        <w:rPr>
          <w:szCs w:val="24"/>
        </w:rPr>
        <w:t>podobně se může stát, že v jedné části země je vysoká nezaměstnanost, kdežto v jiné č</w:t>
      </w:r>
      <w:r w:rsidRPr="00AC5688">
        <w:rPr>
          <w:szCs w:val="24"/>
        </w:rPr>
        <w:t xml:space="preserve">ásti </w:t>
      </w:r>
      <w:r w:rsidR="00971B33">
        <w:rPr>
          <w:szCs w:val="24"/>
        </w:rPr>
        <w:t>jsou volná pracovní místa. Z důvodu nedostateč</w:t>
      </w:r>
      <w:r w:rsidRPr="00AC5688">
        <w:rPr>
          <w:szCs w:val="24"/>
        </w:rPr>
        <w:t>né mobility pracovních s</w:t>
      </w:r>
      <w:r w:rsidR="008F5FA2">
        <w:rPr>
          <w:szCs w:val="24"/>
        </w:rPr>
        <w:t>il ale nedochází k vykonávání.</w:t>
      </w:r>
    </w:p>
    <w:p w14:paraId="4BB04885" w14:textId="77777777" w:rsidR="00AC5688" w:rsidRPr="00AC5688" w:rsidRDefault="00971B33" w:rsidP="00D12EBE">
      <w:pPr>
        <w:widowControl w:val="0"/>
        <w:autoSpaceDE w:val="0"/>
        <w:autoSpaceDN w:val="0"/>
        <w:adjustRightInd w:val="0"/>
        <w:spacing w:after="240"/>
        <w:rPr>
          <w:i/>
          <w:szCs w:val="24"/>
        </w:rPr>
      </w:pPr>
      <w:r>
        <w:rPr>
          <w:i/>
          <w:szCs w:val="24"/>
        </w:rPr>
        <w:t>3. Cyklická nezamě</w:t>
      </w:r>
      <w:r w:rsidR="00AC5688" w:rsidRPr="00AC5688">
        <w:rPr>
          <w:i/>
          <w:szCs w:val="24"/>
        </w:rPr>
        <w:t xml:space="preserve">stnanost </w:t>
      </w:r>
    </w:p>
    <w:p w14:paraId="44DAE2F8" w14:textId="77777777" w:rsidR="00AC5688" w:rsidRPr="00AC5688" w:rsidRDefault="00971B33" w:rsidP="00D12EBE">
      <w:pPr>
        <w:widowControl w:val="0"/>
        <w:autoSpaceDE w:val="0"/>
        <w:autoSpaceDN w:val="0"/>
        <w:adjustRightInd w:val="0"/>
        <w:spacing w:after="240"/>
        <w:rPr>
          <w:szCs w:val="24"/>
        </w:rPr>
      </w:pPr>
      <w:r>
        <w:rPr>
          <w:szCs w:val="24"/>
        </w:rPr>
        <w:t>Cyklická nezamě</w:t>
      </w:r>
      <w:r w:rsidR="00AC5688" w:rsidRPr="00AC5688">
        <w:rPr>
          <w:szCs w:val="24"/>
        </w:rPr>
        <w:t>stnanost se odvíjí od cyklického vývoje ekonom</w:t>
      </w:r>
      <w:r>
        <w:rPr>
          <w:szCs w:val="24"/>
        </w:rPr>
        <w:t>iky. V případě</w:t>
      </w:r>
      <w:r w:rsidR="00AC5688" w:rsidRPr="00AC5688">
        <w:rPr>
          <w:szCs w:val="24"/>
        </w:rPr>
        <w:t xml:space="preserve">, že </w:t>
      </w:r>
      <w:r>
        <w:rPr>
          <w:szCs w:val="24"/>
        </w:rPr>
        <w:t>HDP klesá, pak roste počet nezaměstnaných. V případě, že HDP roste, roste i počet zamě</w:t>
      </w:r>
      <w:r w:rsidR="00AC5688" w:rsidRPr="00AC5688">
        <w:rPr>
          <w:szCs w:val="24"/>
        </w:rPr>
        <w:t>stnaných. V s</w:t>
      </w:r>
      <w:r>
        <w:rPr>
          <w:szCs w:val="24"/>
        </w:rPr>
        <w:t>ouvislosti s tímto typem nezaměstnanosti se dá hovořit o všeobecném př</w:t>
      </w:r>
      <w:r w:rsidR="00AC5688" w:rsidRPr="00AC5688">
        <w:rPr>
          <w:szCs w:val="24"/>
        </w:rPr>
        <w:t>ebytku nabídky nad poptávkou. Dle slov Pavelky</w:t>
      </w:r>
      <w:r w:rsidR="008F5FA2">
        <w:rPr>
          <w:szCs w:val="24"/>
        </w:rPr>
        <w:t>,</w:t>
      </w:r>
      <w:r w:rsidR="00AC5688" w:rsidRPr="00AC5688">
        <w:rPr>
          <w:szCs w:val="24"/>
        </w:rPr>
        <w:t xml:space="preserve"> (2010, </w:t>
      </w:r>
      <w:r w:rsidRPr="00AC5688">
        <w:rPr>
          <w:szCs w:val="24"/>
        </w:rPr>
        <w:t>s. 117</w:t>
      </w:r>
      <w:r w:rsidR="008F5FA2">
        <w:rPr>
          <w:szCs w:val="24"/>
        </w:rPr>
        <w:t xml:space="preserve">) </w:t>
      </w:r>
      <w:r w:rsidR="00AC5688" w:rsidRPr="00AC5688">
        <w:rPr>
          <w:szCs w:val="24"/>
        </w:rPr>
        <w:t>n</w:t>
      </w:r>
      <w:r>
        <w:rPr>
          <w:szCs w:val="24"/>
        </w:rPr>
        <w:t>a rozdíl od strukturální nezamě</w:t>
      </w:r>
      <w:r w:rsidR="00AC5688" w:rsidRPr="00AC5688">
        <w:rPr>
          <w:szCs w:val="24"/>
        </w:rPr>
        <w:t>stna</w:t>
      </w:r>
      <w:r>
        <w:rPr>
          <w:szCs w:val="24"/>
        </w:rPr>
        <w:t>nosti, která postihovala jen některá odvětví, cyklická nezaměstnanost zasahuje všechna odvě</w:t>
      </w:r>
      <w:r w:rsidR="008F5FA2">
        <w:rPr>
          <w:szCs w:val="24"/>
        </w:rPr>
        <w:t>tví v ekonomice.</w:t>
      </w:r>
      <w:r w:rsidR="00AC5688" w:rsidRPr="00AC5688">
        <w:rPr>
          <w:szCs w:val="24"/>
        </w:rPr>
        <w:t xml:space="preserve"> </w:t>
      </w:r>
    </w:p>
    <w:p w14:paraId="1C4216F8" w14:textId="77777777" w:rsidR="00AC5688" w:rsidRPr="00AC5688" w:rsidRDefault="00AC5688" w:rsidP="00625F4B">
      <w:pPr>
        <w:spacing w:after="20"/>
        <w:rPr>
          <w:szCs w:val="24"/>
        </w:rPr>
      </w:pPr>
    </w:p>
    <w:p w14:paraId="2E77D786" w14:textId="68C69294" w:rsidR="0034551E" w:rsidRPr="00142AE9" w:rsidRDefault="0034551E" w:rsidP="00625F4B">
      <w:pPr>
        <w:widowControl w:val="0"/>
        <w:autoSpaceDE w:val="0"/>
        <w:autoSpaceDN w:val="0"/>
        <w:adjustRightInd w:val="0"/>
        <w:spacing w:after="20"/>
        <w:jc w:val="left"/>
        <w:rPr>
          <w:rStyle w:val="Siln"/>
          <w:b w:val="0"/>
          <w:bCs w:val="0"/>
          <w:sz w:val="22"/>
          <w:szCs w:val="22"/>
          <w:lang w:val="en-US"/>
        </w:rPr>
      </w:pPr>
      <w:r w:rsidRPr="00BC24BC">
        <w:rPr>
          <w:rStyle w:val="Siln"/>
          <w:sz w:val="22"/>
          <w:szCs w:val="22"/>
        </w:rPr>
        <w:t xml:space="preserve">Graf 4 </w:t>
      </w:r>
      <w:r w:rsidR="00971B33">
        <w:rPr>
          <w:sz w:val="22"/>
          <w:szCs w:val="22"/>
        </w:rPr>
        <w:t>Průměrná míra nezamě</w:t>
      </w:r>
      <w:r w:rsidRPr="00BC24BC">
        <w:rPr>
          <w:sz w:val="22"/>
          <w:szCs w:val="22"/>
        </w:rPr>
        <w:t>stnanosti v ČR, Polsku a EU (28)</w:t>
      </w:r>
      <w:r w:rsidR="00142AE9">
        <w:rPr>
          <w:sz w:val="22"/>
          <w:szCs w:val="22"/>
        </w:rPr>
        <w:t>, v procentuálním vyjádření,</w:t>
      </w:r>
      <w:r w:rsidRPr="00BC24BC">
        <w:rPr>
          <w:sz w:val="22"/>
          <w:szCs w:val="22"/>
        </w:rPr>
        <w:t xml:space="preserve"> za období 2</w:t>
      </w:r>
      <w:r w:rsidR="00142AE9">
        <w:rPr>
          <w:sz w:val="22"/>
          <w:szCs w:val="22"/>
        </w:rPr>
        <w:t>008-2013</w:t>
      </w:r>
    </w:p>
    <w:p w14:paraId="469408B2" w14:textId="77777777" w:rsidR="008F3364" w:rsidRDefault="00213862" w:rsidP="00625F4B">
      <w:pPr>
        <w:spacing w:after="20"/>
        <w:rPr>
          <w:szCs w:val="24"/>
        </w:rPr>
      </w:pPr>
      <w:r>
        <w:rPr>
          <w:noProof/>
          <w:lang w:eastAsia="ja-JP"/>
        </w:rPr>
        <w:drawing>
          <wp:inline distT="0" distB="0" distL="0" distR="0" wp14:anchorId="727B0F68" wp14:editId="760B1040">
            <wp:extent cx="5179346" cy="2523168"/>
            <wp:effectExtent l="0" t="0" r="27940"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1E6669" w14:textId="77777777" w:rsidR="00BC24BC" w:rsidRPr="00BC24BC" w:rsidRDefault="00BC24BC" w:rsidP="00625F4B">
      <w:pPr>
        <w:spacing w:after="20"/>
        <w:jc w:val="left"/>
        <w:rPr>
          <w:sz w:val="22"/>
          <w:szCs w:val="22"/>
        </w:rPr>
      </w:pPr>
      <w:r w:rsidRPr="00BC24BC">
        <w:rPr>
          <w:sz w:val="22"/>
          <w:szCs w:val="22"/>
        </w:rPr>
        <w:t xml:space="preserve">Zdroj: Eurostat, </w:t>
      </w:r>
      <w:r w:rsidR="0070449E" w:rsidRPr="0070449E">
        <w:rPr>
          <w:sz w:val="22"/>
          <w:szCs w:val="22"/>
        </w:rPr>
        <w:t xml:space="preserve">Unemployment rate </w:t>
      </w:r>
      <w:r w:rsidRPr="00BC24BC">
        <w:rPr>
          <w:sz w:val="22"/>
          <w:szCs w:val="22"/>
        </w:rPr>
        <w:t>(2014), vlastní úprava</w:t>
      </w:r>
    </w:p>
    <w:p w14:paraId="014BAA82" w14:textId="77777777" w:rsidR="00BC24BC" w:rsidRPr="00BC24BC" w:rsidRDefault="00BC24BC" w:rsidP="00625F4B">
      <w:pPr>
        <w:spacing w:after="20"/>
        <w:jc w:val="left"/>
        <w:rPr>
          <w:sz w:val="22"/>
          <w:szCs w:val="22"/>
        </w:rPr>
      </w:pPr>
      <w:r w:rsidRPr="00BC24BC">
        <w:rPr>
          <w:sz w:val="22"/>
          <w:szCs w:val="22"/>
        </w:rPr>
        <w:t>Poznámka: graf vychází z tabulky 4, uvedené v příloze</w:t>
      </w:r>
    </w:p>
    <w:p w14:paraId="4ED8E0F7" w14:textId="77777777" w:rsidR="008D418F" w:rsidRDefault="008D418F" w:rsidP="00625F4B">
      <w:pPr>
        <w:spacing w:after="20"/>
        <w:rPr>
          <w:szCs w:val="24"/>
        </w:rPr>
      </w:pPr>
    </w:p>
    <w:p w14:paraId="713B5638" w14:textId="77777777" w:rsidR="00BC24BC" w:rsidRDefault="00BC24BC" w:rsidP="00625F4B">
      <w:pPr>
        <w:spacing w:after="20"/>
        <w:rPr>
          <w:szCs w:val="24"/>
        </w:rPr>
      </w:pPr>
      <w:r>
        <w:rPr>
          <w:szCs w:val="24"/>
        </w:rPr>
        <w:t>Z grafu je patrné, že se ČR pohybuje po celou dobu sledovaného období pod průměrem EU průměru a Polsko se naopak pohybuje po celou dobu v okolí EU</w:t>
      </w:r>
      <w:r w:rsidR="008F5FA2">
        <w:rPr>
          <w:szCs w:val="24"/>
        </w:rPr>
        <w:t xml:space="preserve"> (28)</w:t>
      </w:r>
      <w:r>
        <w:rPr>
          <w:szCs w:val="24"/>
        </w:rPr>
        <w:t xml:space="preserve"> průměrů a nijak nevybočuje. Dopad globální ekonomic</w:t>
      </w:r>
      <w:r w:rsidR="005E4046">
        <w:rPr>
          <w:szCs w:val="24"/>
        </w:rPr>
        <w:t>ké krize, je patrný</w:t>
      </w:r>
      <w:r>
        <w:rPr>
          <w:szCs w:val="24"/>
        </w:rPr>
        <w:t xml:space="preserve"> </w:t>
      </w:r>
      <w:r w:rsidR="005E4046">
        <w:rPr>
          <w:szCs w:val="24"/>
        </w:rPr>
        <w:t xml:space="preserve">v obou sledovaných zemích od roku 2009. </w:t>
      </w:r>
      <w:r w:rsidR="008F5FA2">
        <w:rPr>
          <w:szCs w:val="24"/>
        </w:rPr>
        <w:t>Od tohoto roku míra nezaměstnanosti mírně klesla v ČR, v roce 2012 míra nezaměstnanosti v obou zemích stoupla, ale stále se drží pod průměrem evropských států, což je dobře.</w:t>
      </w:r>
    </w:p>
    <w:p w14:paraId="0C679CA1" w14:textId="77777777" w:rsidR="00621C57" w:rsidRDefault="00621C57" w:rsidP="00625F4B">
      <w:pPr>
        <w:spacing w:after="20"/>
        <w:rPr>
          <w:szCs w:val="24"/>
        </w:rPr>
      </w:pPr>
    </w:p>
    <w:p w14:paraId="7DF090BF" w14:textId="077D5394" w:rsidR="00621C57" w:rsidRPr="00621C57" w:rsidRDefault="007B056E" w:rsidP="00625F4B">
      <w:pPr>
        <w:spacing w:after="20"/>
        <w:rPr>
          <w:rStyle w:val="Siln"/>
        </w:rPr>
      </w:pPr>
      <w:r>
        <w:rPr>
          <w:rStyle w:val="Siln"/>
        </w:rPr>
        <w:t>Graf 5</w:t>
      </w:r>
      <w:r w:rsidR="00621C57">
        <w:rPr>
          <w:rStyle w:val="Siln"/>
        </w:rPr>
        <w:t xml:space="preserve"> </w:t>
      </w:r>
      <w:r w:rsidR="00030B57">
        <w:rPr>
          <w:rStyle w:val="Siln"/>
          <w:b w:val="0"/>
        </w:rPr>
        <w:t>P</w:t>
      </w:r>
      <w:r w:rsidR="00621C57" w:rsidRPr="00D24DB6">
        <w:rPr>
          <w:rStyle w:val="Siln"/>
          <w:b w:val="0"/>
        </w:rPr>
        <w:t>růměrná míra zaměstnanosti v ČR, Polsku a EU (28</w:t>
      </w:r>
      <w:r w:rsidR="00142AE9">
        <w:rPr>
          <w:rStyle w:val="Siln"/>
          <w:b w:val="0"/>
        </w:rPr>
        <w:t>),</w:t>
      </w:r>
      <w:r w:rsidR="00142AE9" w:rsidRPr="00142AE9">
        <w:rPr>
          <w:sz w:val="22"/>
          <w:szCs w:val="22"/>
        </w:rPr>
        <w:t xml:space="preserve"> </w:t>
      </w:r>
      <w:r w:rsidR="00142AE9">
        <w:rPr>
          <w:sz w:val="22"/>
          <w:szCs w:val="22"/>
        </w:rPr>
        <w:t xml:space="preserve">v procentuálním vyjádření, </w:t>
      </w:r>
      <w:r w:rsidR="00621C57" w:rsidRPr="00D24DB6">
        <w:rPr>
          <w:rStyle w:val="Siln"/>
          <w:b w:val="0"/>
        </w:rPr>
        <w:t>v období 2008-2013</w:t>
      </w:r>
    </w:p>
    <w:p w14:paraId="10EDDB70" w14:textId="77777777" w:rsidR="000C6D04" w:rsidRDefault="000C6D04" w:rsidP="00625F4B">
      <w:pPr>
        <w:spacing w:after="20"/>
        <w:rPr>
          <w:szCs w:val="24"/>
        </w:rPr>
      </w:pPr>
      <w:r w:rsidRPr="00BE739C">
        <w:rPr>
          <w:szCs w:val="24"/>
        </w:rPr>
        <w:t xml:space="preserve"> </w:t>
      </w:r>
      <w:r w:rsidR="00A3483A">
        <w:rPr>
          <w:noProof/>
          <w:lang w:eastAsia="ja-JP"/>
        </w:rPr>
        <w:drawing>
          <wp:inline distT="0" distB="0" distL="0" distR="0" wp14:anchorId="217B50AD" wp14:editId="12D2C635">
            <wp:extent cx="4572000" cy="2294568"/>
            <wp:effectExtent l="0" t="0" r="25400" b="171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080878" w14:textId="77777777" w:rsidR="00A3483A" w:rsidRPr="00716050" w:rsidRDefault="00621C57" w:rsidP="00625F4B">
      <w:pPr>
        <w:spacing w:after="20"/>
        <w:rPr>
          <w:sz w:val="22"/>
          <w:szCs w:val="22"/>
        </w:rPr>
      </w:pPr>
      <w:r w:rsidRPr="00716050">
        <w:rPr>
          <w:sz w:val="22"/>
          <w:szCs w:val="22"/>
        </w:rPr>
        <w:t xml:space="preserve">Zdroj: Eurostat, </w:t>
      </w:r>
      <w:r w:rsidR="0070449E" w:rsidRPr="00716050">
        <w:rPr>
          <w:sz w:val="22"/>
          <w:szCs w:val="22"/>
        </w:rPr>
        <w:t>Employment rate (2014)</w:t>
      </w:r>
      <w:r w:rsidRPr="00716050">
        <w:rPr>
          <w:sz w:val="22"/>
          <w:szCs w:val="22"/>
        </w:rPr>
        <w:t>, vlastní úprava</w:t>
      </w:r>
    </w:p>
    <w:p w14:paraId="1F39A096" w14:textId="77777777" w:rsidR="00621C57" w:rsidRPr="00716050" w:rsidRDefault="00621C57" w:rsidP="00625F4B">
      <w:pPr>
        <w:spacing w:after="20"/>
        <w:jc w:val="left"/>
        <w:rPr>
          <w:sz w:val="22"/>
          <w:szCs w:val="22"/>
        </w:rPr>
      </w:pPr>
      <w:r w:rsidRPr="00716050">
        <w:rPr>
          <w:sz w:val="22"/>
          <w:szCs w:val="22"/>
        </w:rPr>
        <w:t>Poznámka</w:t>
      </w:r>
      <w:r w:rsidR="007B056E" w:rsidRPr="00716050">
        <w:rPr>
          <w:sz w:val="22"/>
          <w:szCs w:val="22"/>
        </w:rPr>
        <w:t>: graf vychází z tabulky číslo 5</w:t>
      </w:r>
      <w:r w:rsidRPr="00716050">
        <w:rPr>
          <w:sz w:val="22"/>
          <w:szCs w:val="22"/>
        </w:rPr>
        <w:t>, uvedené v příloze</w:t>
      </w:r>
    </w:p>
    <w:p w14:paraId="00D26ECA" w14:textId="77777777" w:rsidR="00621C57" w:rsidRDefault="00621C57" w:rsidP="00625F4B">
      <w:pPr>
        <w:spacing w:after="20"/>
        <w:ind w:firstLine="708"/>
        <w:jc w:val="left"/>
        <w:rPr>
          <w:szCs w:val="24"/>
        </w:rPr>
      </w:pPr>
    </w:p>
    <w:p w14:paraId="23F0FC1F" w14:textId="77777777" w:rsidR="00AC5688" w:rsidRDefault="00621C57" w:rsidP="00D12EBE">
      <w:pPr>
        <w:spacing w:after="20"/>
        <w:rPr>
          <w:szCs w:val="24"/>
        </w:rPr>
      </w:pPr>
      <w:r>
        <w:rPr>
          <w:szCs w:val="24"/>
        </w:rPr>
        <w:t>Na tomto grafu vidíme, že ČR se po d</w:t>
      </w:r>
      <w:r w:rsidR="00F304F9">
        <w:rPr>
          <w:szCs w:val="24"/>
        </w:rPr>
        <w:t>obu sledovaného období, drží velmi</w:t>
      </w:r>
      <w:r>
        <w:rPr>
          <w:szCs w:val="24"/>
        </w:rPr>
        <w:t xml:space="preserve"> vysoko</w:t>
      </w:r>
      <w:r w:rsidR="00F304F9">
        <w:rPr>
          <w:szCs w:val="24"/>
        </w:rPr>
        <w:t xml:space="preserve"> oproti Polsku, ale také je po celou dobu nad průměrem států EU. Mírný propad se projevil po globá</w:t>
      </w:r>
      <w:r w:rsidR="008F5FA2">
        <w:rPr>
          <w:szCs w:val="24"/>
        </w:rPr>
        <w:t>lní ekonomické krizi v roce 2008</w:t>
      </w:r>
      <w:r w:rsidR="00F304F9">
        <w:rPr>
          <w:szCs w:val="24"/>
        </w:rPr>
        <w:t>, ale v roce 2010 ČR i Polsko mírně stouplo a to až do konce</w:t>
      </w:r>
      <w:r w:rsidR="00402E4D">
        <w:rPr>
          <w:szCs w:val="24"/>
        </w:rPr>
        <w:t xml:space="preserve"> sledovaného období v roce 2013.</w:t>
      </w:r>
      <w:r w:rsidR="00256BD8">
        <w:rPr>
          <w:szCs w:val="24"/>
        </w:rPr>
        <w:t xml:space="preserve"> Polsko si po celou dobu sledovaného období stojí pod průměrem států EU avšak v posledních letech tento průměr klesá a Polsko naopak mírně stoupá.</w:t>
      </w:r>
    </w:p>
    <w:p w14:paraId="6F0508B4" w14:textId="77777777" w:rsidR="008F5FA2" w:rsidRDefault="008F5FA2" w:rsidP="00D12EBE">
      <w:pPr>
        <w:spacing w:after="20"/>
        <w:rPr>
          <w:szCs w:val="24"/>
        </w:rPr>
      </w:pPr>
    </w:p>
    <w:p w14:paraId="2F2BC5C2" w14:textId="77777777" w:rsidR="003E4795" w:rsidRPr="003E4795" w:rsidRDefault="003E4795" w:rsidP="00D12EBE">
      <w:pPr>
        <w:spacing w:after="20"/>
        <w:rPr>
          <w:b/>
          <w:szCs w:val="24"/>
          <w:u w:val="single"/>
        </w:rPr>
      </w:pPr>
      <w:r w:rsidRPr="003E4795">
        <w:rPr>
          <w:b/>
          <w:szCs w:val="24"/>
          <w:u w:val="single"/>
        </w:rPr>
        <w:t>Veřejný dluh</w:t>
      </w:r>
    </w:p>
    <w:p w14:paraId="3D4E75F9" w14:textId="77777777" w:rsidR="0056274E" w:rsidRDefault="00971B33" w:rsidP="00D12EBE">
      <w:pPr>
        <w:widowControl w:val="0"/>
        <w:autoSpaceDE w:val="0"/>
        <w:autoSpaceDN w:val="0"/>
        <w:adjustRightInd w:val="0"/>
        <w:spacing w:after="240"/>
        <w:rPr>
          <w:szCs w:val="24"/>
        </w:rPr>
      </w:pPr>
      <w:r>
        <w:rPr>
          <w:szCs w:val="24"/>
        </w:rPr>
        <w:t>Veře</w:t>
      </w:r>
      <w:r w:rsidR="003E4795" w:rsidRPr="003E4795">
        <w:rPr>
          <w:szCs w:val="24"/>
        </w:rPr>
        <w:t>jný dluh je další vy</w:t>
      </w:r>
      <w:r w:rsidR="00256BD8">
        <w:rPr>
          <w:szCs w:val="24"/>
        </w:rPr>
        <w:t>povídající hodnotou o stavu</w:t>
      </w:r>
      <w:r>
        <w:rPr>
          <w:szCs w:val="24"/>
        </w:rPr>
        <w:t xml:space="preserve"> ekonomiky</w:t>
      </w:r>
      <w:r w:rsidR="00256BD8">
        <w:rPr>
          <w:szCs w:val="24"/>
        </w:rPr>
        <w:t xml:space="preserve"> všech států</w:t>
      </w:r>
      <w:r>
        <w:rPr>
          <w:szCs w:val="24"/>
        </w:rPr>
        <w:t>. Jak uvádí Jurečka a kol. (2010, s. 210) veř</w:t>
      </w:r>
      <w:r w:rsidR="003E4795" w:rsidRPr="003E4795">
        <w:rPr>
          <w:szCs w:val="24"/>
        </w:rPr>
        <w:t xml:space="preserve">ejný dluh v </w:t>
      </w:r>
      <w:r>
        <w:rPr>
          <w:szCs w:val="24"/>
        </w:rPr>
        <w:t>sobě</w:t>
      </w:r>
      <w:r w:rsidR="003E4795" w:rsidRPr="003E4795">
        <w:rPr>
          <w:szCs w:val="24"/>
        </w:rPr>
        <w:t xml:space="preserve"> zahrnuje státní </w:t>
      </w:r>
      <w:r>
        <w:rPr>
          <w:szCs w:val="24"/>
        </w:rPr>
        <w:t>dluh a dluh plynoucí z deficitů dalších veřejných rozpočtů (např. systém veřejného zdravotního pojištění). A zmiň</w:t>
      </w:r>
      <w:r w:rsidR="003E4795" w:rsidRPr="003E4795">
        <w:rPr>
          <w:szCs w:val="24"/>
        </w:rPr>
        <w:t>ovaný státní d</w:t>
      </w:r>
      <w:r>
        <w:rPr>
          <w:szCs w:val="24"/>
        </w:rPr>
        <w:t>luh se skládá z nesplácených půjček, které si vláda půjčila na krytí deficitů svých rozpočtů a nesplacených úroků z těchto půjč</w:t>
      </w:r>
      <w:r w:rsidR="003E4795" w:rsidRPr="003E4795">
        <w:rPr>
          <w:szCs w:val="24"/>
        </w:rPr>
        <w:t>ek.</w:t>
      </w:r>
      <w:r>
        <w:rPr>
          <w:szCs w:val="24"/>
        </w:rPr>
        <w:t xml:space="preserve"> Dále zdroj uvádí, že pro země, které chtějí zavést euro je požadováno, aby veřejný dluh nepřekroč</w:t>
      </w:r>
      <w:r w:rsidR="003E4795" w:rsidRPr="003E4795">
        <w:rPr>
          <w:szCs w:val="24"/>
        </w:rPr>
        <w:t xml:space="preserve">il 60% HDP. </w:t>
      </w:r>
    </w:p>
    <w:p w14:paraId="0610AAC7" w14:textId="77777777" w:rsidR="003E4795" w:rsidRDefault="003E4795" w:rsidP="00625F4B">
      <w:pPr>
        <w:spacing w:after="20"/>
        <w:jc w:val="left"/>
        <w:rPr>
          <w:szCs w:val="24"/>
        </w:rPr>
      </w:pPr>
    </w:p>
    <w:p w14:paraId="48743530" w14:textId="34D14C17" w:rsidR="0056274E" w:rsidRPr="00F84D5B" w:rsidRDefault="00030B57" w:rsidP="00625F4B">
      <w:pPr>
        <w:spacing w:after="20"/>
        <w:jc w:val="left"/>
        <w:rPr>
          <w:rStyle w:val="Siln"/>
          <w:sz w:val="22"/>
          <w:szCs w:val="22"/>
        </w:rPr>
      </w:pPr>
      <w:r>
        <w:rPr>
          <w:rStyle w:val="Siln"/>
          <w:sz w:val="22"/>
          <w:szCs w:val="22"/>
        </w:rPr>
        <w:t>Graf 6</w:t>
      </w:r>
      <w:r w:rsidR="0056274E" w:rsidRPr="00F84D5B">
        <w:rPr>
          <w:rStyle w:val="Siln"/>
          <w:sz w:val="22"/>
          <w:szCs w:val="22"/>
        </w:rPr>
        <w:t xml:space="preserve"> </w:t>
      </w:r>
      <w:r w:rsidR="0056274E" w:rsidRPr="00D24DB6">
        <w:rPr>
          <w:rStyle w:val="Siln"/>
          <w:b w:val="0"/>
          <w:sz w:val="22"/>
          <w:szCs w:val="22"/>
        </w:rPr>
        <w:t>Státní dluh v ČR, Polsku a EU (28)</w:t>
      </w:r>
      <w:r w:rsidR="00CB1B50">
        <w:rPr>
          <w:rStyle w:val="Siln"/>
          <w:b w:val="0"/>
          <w:sz w:val="22"/>
          <w:szCs w:val="22"/>
        </w:rPr>
        <w:t xml:space="preserve"> v nominální hodnotě, </w:t>
      </w:r>
      <w:r w:rsidR="0056274E">
        <w:rPr>
          <w:rStyle w:val="Siln"/>
          <w:b w:val="0"/>
          <w:sz w:val="22"/>
          <w:szCs w:val="22"/>
        </w:rPr>
        <w:t xml:space="preserve"> </w:t>
      </w:r>
      <w:r w:rsidR="0056274E">
        <w:rPr>
          <w:rStyle w:val="Siln"/>
          <w:b w:val="0"/>
        </w:rPr>
        <w:t>v období 2010</w:t>
      </w:r>
      <w:r w:rsidR="0056274E" w:rsidRPr="00D24DB6">
        <w:rPr>
          <w:rStyle w:val="Siln"/>
          <w:b w:val="0"/>
        </w:rPr>
        <w:t>-2013</w:t>
      </w:r>
    </w:p>
    <w:p w14:paraId="2D294250" w14:textId="77777777" w:rsidR="0056274E" w:rsidRPr="007B3DE0" w:rsidRDefault="0056274E" w:rsidP="00971B33">
      <w:pPr>
        <w:tabs>
          <w:tab w:val="left" w:pos="8080"/>
        </w:tabs>
        <w:spacing w:after="20"/>
        <w:jc w:val="left"/>
        <w:rPr>
          <w:rStyle w:val="Siln"/>
        </w:rPr>
      </w:pPr>
      <w:r>
        <w:rPr>
          <w:noProof/>
          <w:lang w:eastAsia="ja-JP"/>
        </w:rPr>
        <w:drawing>
          <wp:inline distT="0" distB="0" distL="0" distR="0" wp14:anchorId="3B0A8C10" wp14:editId="1EAC0D1E">
            <wp:extent cx="5103146" cy="2136775"/>
            <wp:effectExtent l="0" t="0" r="27940" b="222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E1C2AB" w14:textId="77777777" w:rsidR="0056274E" w:rsidRPr="00F84D5B" w:rsidRDefault="0056274E" w:rsidP="00625F4B">
      <w:pPr>
        <w:spacing w:after="20"/>
        <w:jc w:val="left"/>
        <w:rPr>
          <w:bCs/>
          <w:sz w:val="22"/>
          <w:szCs w:val="22"/>
        </w:rPr>
      </w:pPr>
      <w:r w:rsidRPr="00F84D5B">
        <w:rPr>
          <w:bCs/>
          <w:sz w:val="22"/>
          <w:szCs w:val="22"/>
        </w:rPr>
        <w:t xml:space="preserve">Zdroj: </w:t>
      </w:r>
      <w:proofErr w:type="spellStart"/>
      <w:r w:rsidRPr="00F84D5B">
        <w:rPr>
          <w:bCs/>
          <w:sz w:val="22"/>
          <w:szCs w:val="22"/>
        </w:rPr>
        <w:t>Eurostat</w:t>
      </w:r>
      <w:proofErr w:type="spellEnd"/>
      <w:r w:rsidRPr="00F84D5B">
        <w:rPr>
          <w:bCs/>
          <w:sz w:val="22"/>
          <w:szCs w:val="22"/>
        </w:rPr>
        <w:t xml:space="preserve">, </w:t>
      </w:r>
      <w:r w:rsidR="0070449E" w:rsidRPr="0070449E">
        <w:rPr>
          <w:bCs/>
          <w:sz w:val="22"/>
          <w:szCs w:val="22"/>
        </w:rPr>
        <w:t xml:space="preserve">General </w:t>
      </w:r>
      <w:proofErr w:type="spellStart"/>
      <w:r w:rsidR="0070449E" w:rsidRPr="0070449E">
        <w:rPr>
          <w:bCs/>
          <w:sz w:val="22"/>
          <w:szCs w:val="22"/>
        </w:rPr>
        <w:t>government</w:t>
      </w:r>
      <w:proofErr w:type="spellEnd"/>
      <w:r w:rsidR="0070449E" w:rsidRPr="0070449E">
        <w:rPr>
          <w:bCs/>
          <w:sz w:val="22"/>
          <w:szCs w:val="22"/>
        </w:rPr>
        <w:t xml:space="preserve"> gross </w:t>
      </w:r>
      <w:proofErr w:type="spellStart"/>
      <w:r w:rsidR="0070449E" w:rsidRPr="0070449E">
        <w:rPr>
          <w:bCs/>
          <w:sz w:val="22"/>
          <w:szCs w:val="22"/>
        </w:rPr>
        <w:t>debt</w:t>
      </w:r>
      <w:proofErr w:type="spellEnd"/>
      <w:r w:rsidR="0070449E" w:rsidRPr="0070449E">
        <w:rPr>
          <w:bCs/>
          <w:sz w:val="22"/>
          <w:szCs w:val="22"/>
        </w:rPr>
        <w:t xml:space="preserve"> </w:t>
      </w:r>
      <w:r w:rsidRPr="00F84D5B">
        <w:rPr>
          <w:bCs/>
          <w:sz w:val="22"/>
          <w:szCs w:val="22"/>
        </w:rPr>
        <w:t>(2014), vlastní úprava</w:t>
      </w:r>
    </w:p>
    <w:p w14:paraId="49F5D829" w14:textId="245C86A1" w:rsidR="0056274E" w:rsidRDefault="0056274E" w:rsidP="00625F4B">
      <w:pPr>
        <w:spacing w:after="20"/>
        <w:jc w:val="left"/>
        <w:rPr>
          <w:bCs/>
          <w:sz w:val="22"/>
          <w:szCs w:val="22"/>
        </w:rPr>
      </w:pPr>
      <w:r w:rsidRPr="00F84D5B">
        <w:rPr>
          <w:bCs/>
          <w:sz w:val="22"/>
          <w:szCs w:val="22"/>
        </w:rPr>
        <w:t>Poznámka</w:t>
      </w:r>
      <w:r w:rsidR="00716050">
        <w:rPr>
          <w:bCs/>
          <w:sz w:val="22"/>
          <w:szCs w:val="22"/>
        </w:rPr>
        <w:t>: graf vychází z tabulky 6</w:t>
      </w:r>
      <w:r w:rsidRPr="00F84D5B">
        <w:rPr>
          <w:bCs/>
          <w:sz w:val="22"/>
          <w:szCs w:val="22"/>
        </w:rPr>
        <w:t xml:space="preserve"> v příloze </w:t>
      </w:r>
    </w:p>
    <w:p w14:paraId="77728604" w14:textId="77777777" w:rsidR="0056274E" w:rsidRPr="00F84D5B" w:rsidRDefault="0056274E" w:rsidP="00625F4B">
      <w:pPr>
        <w:spacing w:after="20"/>
        <w:jc w:val="left"/>
        <w:rPr>
          <w:bCs/>
          <w:sz w:val="22"/>
          <w:szCs w:val="22"/>
        </w:rPr>
      </w:pPr>
    </w:p>
    <w:p w14:paraId="7512CC32" w14:textId="6764307A" w:rsidR="000F1539" w:rsidRDefault="00971B33" w:rsidP="000F1539">
      <w:pPr>
        <w:spacing w:after="20"/>
        <w:rPr>
          <w:bCs/>
          <w:szCs w:val="24"/>
        </w:rPr>
      </w:pPr>
      <w:r>
        <w:rPr>
          <w:bCs/>
          <w:szCs w:val="24"/>
        </w:rPr>
        <w:t>Tento graf znázorňuje celkový veř</w:t>
      </w:r>
      <w:r w:rsidR="0056274E" w:rsidRPr="00F84D5B">
        <w:rPr>
          <w:bCs/>
          <w:szCs w:val="24"/>
        </w:rPr>
        <w:t>ejný dluh v ČR</w:t>
      </w:r>
      <w:r>
        <w:rPr>
          <w:bCs/>
          <w:szCs w:val="24"/>
        </w:rPr>
        <w:t>, Polsku a EU</w:t>
      </w:r>
      <w:r w:rsidR="00256BD8">
        <w:rPr>
          <w:bCs/>
          <w:szCs w:val="24"/>
        </w:rPr>
        <w:t xml:space="preserve"> (28)</w:t>
      </w:r>
      <w:r>
        <w:rPr>
          <w:bCs/>
          <w:szCs w:val="24"/>
        </w:rPr>
        <w:t>. Data jsou vyjádř</w:t>
      </w:r>
      <w:r w:rsidR="0056274E" w:rsidRPr="00F84D5B">
        <w:rPr>
          <w:bCs/>
          <w:szCs w:val="24"/>
        </w:rPr>
        <w:t xml:space="preserve">ená jako procento nominálního HDP. </w:t>
      </w:r>
      <w:r>
        <w:rPr>
          <w:bCs/>
          <w:szCs w:val="24"/>
        </w:rPr>
        <w:t>V grafu je vyjádř</w:t>
      </w:r>
      <w:r w:rsidR="0056274E">
        <w:rPr>
          <w:bCs/>
          <w:szCs w:val="24"/>
        </w:rPr>
        <w:t xml:space="preserve">eno, že obě sledované země mají mírně rostoucí veřejný dluh. </w:t>
      </w:r>
      <w:r w:rsidR="00256BD8">
        <w:rPr>
          <w:bCs/>
          <w:szCs w:val="24"/>
        </w:rPr>
        <w:t xml:space="preserve">Avšak </w:t>
      </w:r>
      <w:r w:rsidR="0056274E">
        <w:rPr>
          <w:bCs/>
          <w:szCs w:val="24"/>
        </w:rPr>
        <w:t>ČR má dluh</w:t>
      </w:r>
      <w:r w:rsidR="00256BD8">
        <w:rPr>
          <w:bCs/>
          <w:szCs w:val="24"/>
        </w:rPr>
        <w:t>,</w:t>
      </w:r>
      <w:r w:rsidR="0056274E">
        <w:rPr>
          <w:bCs/>
          <w:szCs w:val="24"/>
        </w:rPr>
        <w:t xml:space="preserve"> po celou</w:t>
      </w:r>
      <w:r>
        <w:rPr>
          <w:bCs/>
          <w:szCs w:val="24"/>
        </w:rPr>
        <w:t xml:space="preserve"> </w:t>
      </w:r>
      <w:r w:rsidR="0056274E">
        <w:rPr>
          <w:bCs/>
          <w:szCs w:val="24"/>
        </w:rPr>
        <w:t>dobu</w:t>
      </w:r>
      <w:r w:rsidR="00256BD8">
        <w:rPr>
          <w:bCs/>
          <w:szCs w:val="24"/>
        </w:rPr>
        <w:t xml:space="preserve"> sledovaného období,</w:t>
      </w:r>
      <w:r w:rsidR="0056274E">
        <w:rPr>
          <w:bCs/>
          <w:szCs w:val="24"/>
        </w:rPr>
        <w:t xml:space="preserve"> skoro 2x menší než je průměr EU a zhruba o 1/3 je trvale menší než Polský. Polsko si stojí také velmi dobře opro</w:t>
      </w:r>
      <w:r w:rsidR="00256BD8">
        <w:rPr>
          <w:bCs/>
          <w:szCs w:val="24"/>
        </w:rPr>
        <w:t>ti průměru v EU (28) a má po celou dobu sledovaného období stejně jako ČR mírně vzrůstající tendenci.</w:t>
      </w:r>
    </w:p>
    <w:p w14:paraId="6D3081CA" w14:textId="77777777" w:rsidR="000F1539" w:rsidRPr="000F1539" w:rsidRDefault="000F1539" w:rsidP="000F1539">
      <w:pPr>
        <w:spacing w:after="20"/>
        <w:rPr>
          <w:bCs/>
          <w:szCs w:val="24"/>
        </w:rPr>
      </w:pPr>
    </w:p>
    <w:p w14:paraId="78F00450" w14:textId="77777777" w:rsidR="00402E4D" w:rsidRDefault="00402E4D" w:rsidP="00625F4B">
      <w:pPr>
        <w:pStyle w:val="Nadpis3"/>
      </w:pPr>
      <w:bookmarkStart w:id="23" w:name="_Toc281822799"/>
      <w:r>
        <w:t>Hodnotící komentář</w:t>
      </w:r>
      <w:r w:rsidR="00DF1800">
        <w:t xml:space="preserve"> první části</w:t>
      </w:r>
      <w:bookmarkEnd w:id="23"/>
    </w:p>
    <w:p w14:paraId="2AE25A7D" w14:textId="77777777" w:rsidR="00402E4D" w:rsidRDefault="00402E4D" w:rsidP="00D12EBE">
      <w:pPr>
        <w:spacing w:after="20"/>
        <w:rPr>
          <w:bCs/>
          <w:szCs w:val="24"/>
        </w:rPr>
      </w:pPr>
      <w:r w:rsidRPr="00745A26">
        <w:rPr>
          <w:szCs w:val="24"/>
        </w:rPr>
        <w:t xml:space="preserve">Prvním měřeným ukazatelem bylo </w:t>
      </w:r>
      <w:r w:rsidR="005539AF" w:rsidRPr="005539AF">
        <w:rPr>
          <w:i/>
          <w:szCs w:val="24"/>
        </w:rPr>
        <w:t xml:space="preserve">tempo </w:t>
      </w:r>
      <w:r w:rsidR="005539AF" w:rsidRPr="005539AF">
        <w:rPr>
          <w:bCs/>
          <w:i/>
          <w:szCs w:val="24"/>
        </w:rPr>
        <w:t>růst</w:t>
      </w:r>
      <w:r w:rsidR="005539AF">
        <w:rPr>
          <w:bCs/>
          <w:i/>
          <w:szCs w:val="24"/>
        </w:rPr>
        <w:t>u</w:t>
      </w:r>
      <w:r w:rsidRPr="005539AF">
        <w:rPr>
          <w:bCs/>
          <w:i/>
          <w:szCs w:val="24"/>
        </w:rPr>
        <w:t xml:space="preserve"> reálného hrubého domácího produktu</w:t>
      </w:r>
      <w:r>
        <w:rPr>
          <w:bCs/>
          <w:szCs w:val="24"/>
        </w:rPr>
        <w:t>. Z tohoto výsledku je nejvíce patrný dopad globální ekonomické krize na státy, v roce 2008. Propad byl velmi prudký a nárust v roce 2010 také. HDP České republiky se zde pohybuje stále okolo evropského průměru a Polsku se</w:t>
      </w:r>
      <w:r w:rsidR="00256BD8">
        <w:rPr>
          <w:bCs/>
          <w:szCs w:val="24"/>
        </w:rPr>
        <w:t xml:space="preserve"> zde</w:t>
      </w:r>
      <w:r>
        <w:rPr>
          <w:bCs/>
          <w:szCs w:val="24"/>
        </w:rPr>
        <w:t xml:space="preserve"> mi</w:t>
      </w:r>
      <w:r w:rsidR="00256BD8">
        <w:rPr>
          <w:bCs/>
          <w:szCs w:val="24"/>
        </w:rPr>
        <w:t>mořádně daří. Zde lze jasně konstatovat</w:t>
      </w:r>
      <w:r>
        <w:rPr>
          <w:bCs/>
          <w:szCs w:val="24"/>
        </w:rPr>
        <w:t>, že si Polsko oproti ČR, které se sotva drží v kladných hodnotách, stojí velmi dobře</w:t>
      </w:r>
      <w:r w:rsidR="005539AF">
        <w:rPr>
          <w:bCs/>
          <w:szCs w:val="24"/>
        </w:rPr>
        <w:t>.</w:t>
      </w:r>
    </w:p>
    <w:p w14:paraId="48B636C4" w14:textId="77777777" w:rsidR="00402E4D" w:rsidRDefault="00402E4D" w:rsidP="00D12EBE">
      <w:pPr>
        <w:spacing w:after="20"/>
        <w:rPr>
          <w:bCs/>
          <w:szCs w:val="24"/>
        </w:rPr>
      </w:pPr>
      <w:r>
        <w:rPr>
          <w:bCs/>
          <w:szCs w:val="24"/>
        </w:rPr>
        <w:t xml:space="preserve">Dalším sledovaným ukazatelem bylo </w:t>
      </w:r>
      <w:r w:rsidRPr="005539AF">
        <w:rPr>
          <w:bCs/>
          <w:i/>
          <w:szCs w:val="24"/>
        </w:rPr>
        <w:t>HDP na obyvatele v paritě kupní síly</w:t>
      </w:r>
      <w:r>
        <w:rPr>
          <w:bCs/>
          <w:szCs w:val="24"/>
        </w:rPr>
        <w:t>. V tomto bodě se Polsko velmi liší od hodnot EU</w:t>
      </w:r>
      <w:r w:rsidR="00256BD8">
        <w:rPr>
          <w:bCs/>
          <w:szCs w:val="24"/>
        </w:rPr>
        <w:t xml:space="preserve"> (28)</w:t>
      </w:r>
      <w:r>
        <w:rPr>
          <w:bCs/>
          <w:szCs w:val="24"/>
        </w:rPr>
        <w:t>. ČR je někde mezi těmito dvěma hodnotami a stojí si celkem obstojně oproti ukazatelům EU</w:t>
      </w:r>
      <w:r w:rsidR="00256BD8">
        <w:rPr>
          <w:bCs/>
          <w:szCs w:val="24"/>
        </w:rPr>
        <w:t xml:space="preserve"> (28)</w:t>
      </w:r>
      <w:r>
        <w:rPr>
          <w:bCs/>
          <w:szCs w:val="24"/>
        </w:rPr>
        <w:t xml:space="preserve">. Zde má ČR nejvíce konzistentní výsledky. </w:t>
      </w:r>
      <w:r w:rsidR="005539AF">
        <w:rPr>
          <w:bCs/>
          <w:szCs w:val="24"/>
        </w:rPr>
        <w:t>Polsko má naopak po celou dobu sledovaného období vzrůstající tendenci a jeho míra HDP na obyvatele v paritě kupní síly stoupá.</w:t>
      </w:r>
    </w:p>
    <w:p w14:paraId="115FD060" w14:textId="77777777" w:rsidR="00402E4D" w:rsidRDefault="00402E4D" w:rsidP="00D12EBE">
      <w:pPr>
        <w:spacing w:after="20"/>
        <w:rPr>
          <w:bCs/>
          <w:szCs w:val="24"/>
        </w:rPr>
      </w:pPr>
      <w:r>
        <w:rPr>
          <w:bCs/>
          <w:szCs w:val="24"/>
        </w:rPr>
        <w:t xml:space="preserve">Třetím ukazatelem je </w:t>
      </w:r>
      <w:r w:rsidRPr="005539AF">
        <w:rPr>
          <w:bCs/>
          <w:i/>
          <w:szCs w:val="24"/>
        </w:rPr>
        <w:t>míra inflace</w:t>
      </w:r>
      <w:r>
        <w:rPr>
          <w:bCs/>
          <w:szCs w:val="24"/>
        </w:rPr>
        <w:t>. Zde jsou odchylky mezi sledovanými státy jasně zřejmé. Polsko se pohybuje v mnohem vyšších mírách inflace než ČR a uvedený</w:t>
      </w:r>
      <w:r w:rsidR="00256BD8">
        <w:rPr>
          <w:bCs/>
          <w:szCs w:val="24"/>
        </w:rPr>
        <w:t xml:space="preserve"> průměr</w:t>
      </w:r>
      <w:r>
        <w:rPr>
          <w:bCs/>
          <w:szCs w:val="24"/>
        </w:rPr>
        <w:t xml:space="preserve"> EU</w:t>
      </w:r>
      <w:r w:rsidR="00256BD8">
        <w:rPr>
          <w:bCs/>
          <w:szCs w:val="24"/>
        </w:rPr>
        <w:t xml:space="preserve"> (28)</w:t>
      </w:r>
      <w:r>
        <w:rPr>
          <w:bCs/>
          <w:szCs w:val="24"/>
        </w:rPr>
        <w:t>. ČR se s drobnými odchylkami pohybuje v podobném rytmu jako EU a v roce 2012 byla po dlouhé době hodnota inflace ČR vyšší než EU průměr. Nyní míra inflace v ČR i Polsku klesá, což lze považovat za pozitivní krok</w:t>
      </w:r>
      <w:r w:rsidR="009842FE">
        <w:rPr>
          <w:bCs/>
          <w:szCs w:val="24"/>
        </w:rPr>
        <w:t xml:space="preserve">. </w:t>
      </w:r>
      <w:r w:rsidR="005539AF">
        <w:rPr>
          <w:bCs/>
          <w:szCs w:val="24"/>
        </w:rPr>
        <w:t>Míra inflace je v porovnání roku 2008 a 3013 pro Polsko</w:t>
      </w:r>
      <w:r w:rsidR="009842FE">
        <w:rPr>
          <w:bCs/>
          <w:szCs w:val="24"/>
        </w:rPr>
        <w:t xml:space="preserve"> až 5,25 krát menší. V případě ČR se jedná o 4,5 krát nižší inflaci, než na začátku sledovaného období.</w:t>
      </w:r>
    </w:p>
    <w:p w14:paraId="23C9BE2E" w14:textId="77777777" w:rsidR="00402E4D" w:rsidRDefault="00402E4D" w:rsidP="00D12EBE">
      <w:pPr>
        <w:spacing w:after="20"/>
        <w:rPr>
          <w:bCs/>
          <w:szCs w:val="24"/>
        </w:rPr>
      </w:pPr>
      <w:r>
        <w:rPr>
          <w:bCs/>
          <w:szCs w:val="24"/>
        </w:rPr>
        <w:t xml:space="preserve">Dalším ukazatelem je </w:t>
      </w:r>
      <w:r w:rsidRPr="009842FE">
        <w:rPr>
          <w:bCs/>
          <w:i/>
          <w:szCs w:val="24"/>
        </w:rPr>
        <w:t>míra nezaměstnanosti</w:t>
      </w:r>
      <w:r>
        <w:rPr>
          <w:bCs/>
          <w:szCs w:val="24"/>
        </w:rPr>
        <w:t>. Dá se považovat za velmi pozitivní, že  obě země se po většinu</w:t>
      </w:r>
      <w:r w:rsidR="00E11EFB">
        <w:rPr>
          <w:bCs/>
          <w:szCs w:val="24"/>
        </w:rPr>
        <w:t xml:space="preserve"> sledované doby pohybují pod</w:t>
      </w:r>
      <w:r>
        <w:rPr>
          <w:bCs/>
          <w:szCs w:val="24"/>
        </w:rPr>
        <w:t xml:space="preserve"> průměrem</w:t>
      </w:r>
      <w:r w:rsidR="00E11EFB">
        <w:rPr>
          <w:bCs/>
          <w:szCs w:val="24"/>
        </w:rPr>
        <w:t xml:space="preserve"> EU (28). ČR </w:t>
      </w:r>
      <w:r>
        <w:rPr>
          <w:bCs/>
          <w:szCs w:val="24"/>
        </w:rPr>
        <w:t>se pohybuje po celou dobu pod průměrem EU</w:t>
      </w:r>
      <w:r w:rsidR="00E11EFB">
        <w:rPr>
          <w:bCs/>
          <w:szCs w:val="24"/>
        </w:rPr>
        <w:t xml:space="preserve"> (28) a to celkem znatelně</w:t>
      </w:r>
      <w:r>
        <w:rPr>
          <w:bCs/>
          <w:szCs w:val="24"/>
        </w:rPr>
        <w:t>. Polsko takové štěstí němá, ale kladně zde můžeme hodnotit aspoň to, že EU</w:t>
      </w:r>
      <w:r w:rsidR="00E11EFB">
        <w:rPr>
          <w:bCs/>
          <w:szCs w:val="24"/>
        </w:rPr>
        <w:t xml:space="preserve"> (28)</w:t>
      </w:r>
      <w:r>
        <w:rPr>
          <w:bCs/>
          <w:szCs w:val="24"/>
        </w:rPr>
        <w:t xml:space="preserve"> </w:t>
      </w:r>
      <w:r w:rsidR="009842FE">
        <w:rPr>
          <w:bCs/>
          <w:szCs w:val="24"/>
        </w:rPr>
        <w:t xml:space="preserve">průměr po většinu doby splňuje a nijak zásadně jej nepřevyšuje. </w:t>
      </w:r>
    </w:p>
    <w:p w14:paraId="0D91B33F" w14:textId="77777777" w:rsidR="00402E4D" w:rsidRDefault="009842FE" w:rsidP="00D12EBE">
      <w:pPr>
        <w:spacing w:after="20"/>
        <w:rPr>
          <w:bCs/>
        </w:rPr>
      </w:pPr>
      <w:r>
        <w:rPr>
          <w:bCs/>
        </w:rPr>
        <w:t xml:space="preserve">Následujícím </w:t>
      </w:r>
      <w:r w:rsidR="00402E4D">
        <w:rPr>
          <w:bCs/>
        </w:rPr>
        <w:t xml:space="preserve">ukazatel je </w:t>
      </w:r>
      <w:r w:rsidR="00402E4D" w:rsidRPr="009842FE">
        <w:rPr>
          <w:bCs/>
          <w:i/>
        </w:rPr>
        <w:t>míra zaměstnanosti</w:t>
      </w:r>
      <w:r w:rsidR="00402E4D">
        <w:rPr>
          <w:bCs/>
        </w:rPr>
        <w:t>. Na tomto ukazateli vidíme, že se ČR oproti Polsku, drží velmi vysoko nad průměrem EU</w:t>
      </w:r>
      <w:r>
        <w:rPr>
          <w:bCs/>
        </w:rPr>
        <w:t xml:space="preserve"> (28)</w:t>
      </w:r>
      <w:r w:rsidR="00402E4D">
        <w:rPr>
          <w:bCs/>
        </w:rPr>
        <w:t xml:space="preserve">. Kladně lze </w:t>
      </w:r>
      <w:r>
        <w:rPr>
          <w:bCs/>
        </w:rPr>
        <w:t xml:space="preserve">u ČR </w:t>
      </w:r>
      <w:r w:rsidR="00402E4D">
        <w:rPr>
          <w:bCs/>
        </w:rPr>
        <w:t xml:space="preserve">hodnotit </w:t>
      </w:r>
      <w:r>
        <w:rPr>
          <w:bCs/>
        </w:rPr>
        <w:t xml:space="preserve">i mírný vzrůstající trend míry zaměstnanosti, který od roku 2010 přetrvává </w:t>
      </w:r>
      <w:r w:rsidR="00402E4D">
        <w:rPr>
          <w:bCs/>
        </w:rPr>
        <w:t>.</w:t>
      </w:r>
      <w:r w:rsidR="00D64296">
        <w:rPr>
          <w:bCs/>
        </w:rPr>
        <w:t xml:space="preserve"> Polsko se drží pod průměrem EU a míra zaměstnanosti je zde tedy nízká. Míra zaměstnanosti v ČR je v průměru o 12,5% vyšší než v Polsku.</w:t>
      </w:r>
    </w:p>
    <w:p w14:paraId="299624C5" w14:textId="77777777" w:rsidR="0056274E" w:rsidRDefault="00D64296" w:rsidP="00D12EBE">
      <w:pPr>
        <w:widowControl w:val="0"/>
        <w:autoSpaceDE w:val="0"/>
        <w:autoSpaceDN w:val="0"/>
        <w:adjustRightInd w:val="0"/>
        <w:spacing w:after="20"/>
      </w:pPr>
      <w:r>
        <w:t xml:space="preserve">Jako poslední zde </w:t>
      </w:r>
      <w:r w:rsidR="0056274E">
        <w:t xml:space="preserve">je ukazatel státního dluhu. </w:t>
      </w:r>
      <w:r>
        <w:t>Jak Česká</w:t>
      </w:r>
      <w:r w:rsidR="0056274E">
        <w:t xml:space="preserve"> republika a Polsko</w:t>
      </w:r>
      <w:r w:rsidR="0056274E" w:rsidRPr="00F84D5B">
        <w:t xml:space="preserve"> tak i Evropská unie v t</w:t>
      </w:r>
      <w:r w:rsidR="0056274E">
        <w:t xml:space="preserve">omto ukazateli vykazují po většinu </w:t>
      </w:r>
      <w:r>
        <w:t>období vzrůstající</w:t>
      </w:r>
      <w:r w:rsidR="0056274E" w:rsidRPr="00F84D5B">
        <w:t xml:space="preserve"> trend. To lze hodnotit jak</w:t>
      </w:r>
      <w:r>
        <w:t>o velice negativní vývoj. Česká</w:t>
      </w:r>
      <w:r w:rsidR="0056274E" w:rsidRPr="00F84D5B">
        <w:t xml:space="preserve"> republika má zd</w:t>
      </w:r>
      <w:r w:rsidR="0056274E">
        <w:t>e nejmenší dluh, který ale i tak vz</w:t>
      </w:r>
      <w:r w:rsidR="00E11EFB">
        <w:t>růstá. To je negativní jev.</w:t>
      </w:r>
      <w:r w:rsidR="0056274E">
        <w:t xml:space="preserve"> </w:t>
      </w:r>
      <w:r w:rsidR="00E11EFB">
        <w:t>I</w:t>
      </w:r>
      <w:r>
        <w:t xml:space="preserve"> přes to, ve srovnání s průměrem EU si</w:t>
      </w:r>
      <w:r w:rsidR="0056274E">
        <w:t xml:space="preserve"> ČR i Polsko stojí obstojně.</w:t>
      </w:r>
      <w:r>
        <w:t xml:space="preserve"> Česká republika má nejlepší výsledky mezi rokem 2012 a 2013, kdy nárust státního dluhu, je „pouze“ </w:t>
      </w:r>
      <w:r w:rsidR="00E11EFB">
        <w:t xml:space="preserve">o </w:t>
      </w:r>
      <w:r>
        <w:t>0,2%. Polsku se podařilo v</w:t>
      </w:r>
      <w:r w:rsidR="00E11EFB">
        <w:t xml:space="preserve"> roce</w:t>
      </w:r>
      <w:r>
        <w:t xml:space="preserve"> 2012 státní dluh dokonce snížit o 0,4%, ale v roce 2013 se </w:t>
      </w:r>
      <w:r w:rsidR="00E77F4E">
        <w:t>nárust zvýšit, a to o 1,2%.</w:t>
      </w:r>
    </w:p>
    <w:p w14:paraId="000D6BD8" w14:textId="77777777" w:rsidR="0056274E" w:rsidRDefault="0056274E" w:rsidP="00D12EBE">
      <w:pPr>
        <w:spacing w:after="20"/>
        <w:rPr>
          <w:bCs/>
        </w:rPr>
      </w:pPr>
    </w:p>
    <w:p w14:paraId="1DEEDB84" w14:textId="77777777" w:rsidR="00E77F4E" w:rsidRDefault="00402E4D" w:rsidP="00E77F4E">
      <w:pPr>
        <w:spacing w:after="20"/>
        <w:rPr>
          <w:bCs/>
        </w:rPr>
      </w:pPr>
      <w:r>
        <w:rPr>
          <w:bCs/>
        </w:rPr>
        <w:t>Na závěr lze konstatovat, že</w:t>
      </w:r>
      <w:r w:rsidR="00E77F4E">
        <w:rPr>
          <w:bCs/>
        </w:rPr>
        <w:t xml:space="preserve"> i přes to, že se oba státy trvale drží okolo průměru EU</w:t>
      </w:r>
      <w:r w:rsidR="00E11EFB">
        <w:rPr>
          <w:bCs/>
        </w:rPr>
        <w:t>,</w:t>
      </w:r>
    </w:p>
    <w:p w14:paraId="6F682A92" w14:textId="77777777" w:rsidR="00E77F4E" w:rsidRDefault="00402E4D" w:rsidP="00D12EBE">
      <w:pPr>
        <w:spacing w:after="20"/>
        <w:rPr>
          <w:bCs/>
        </w:rPr>
      </w:pPr>
      <w:r>
        <w:rPr>
          <w:bCs/>
        </w:rPr>
        <w:t>si ve většině ukaz</w:t>
      </w:r>
      <w:r w:rsidR="00E77F4E">
        <w:rPr>
          <w:bCs/>
        </w:rPr>
        <w:t xml:space="preserve">atelích ČR vede lépe než Polsko. Hlavně co se </w:t>
      </w:r>
      <w:r w:rsidR="00E11EFB">
        <w:rPr>
          <w:bCs/>
        </w:rPr>
        <w:t>týká zaměstnanosti, Polsko</w:t>
      </w:r>
      <w:r w:rsidR="00E77F4E">
        <w:rPr>
          <w:bCs/>
        </w:rPr>
        <w:t xml:space="preserve"> zaostává za Českou republikou. </w:t>
      </w:r>
    </w:p>
    <w:p w14:paraId="0A3625CB" w14:textId="77777777" w:rsidR="000F1539" w:rsidRPr="00495729" w:rsidRDefault="000F1539" w:rsidP="00D12EBE">
      <w:pPr>
        <w:spacing w:after="20"/>
        <w:rPr>
          <w:bCs/>
        </w:rPr>
        <w:sectPr w:rsidR="000F1539" w:rsidRPr="00495729" w:rsidSect="00E14A51">
          <w:headerReference w:type="even" r:id="rId25"/>
          <w:headerReference w:type="default" r:id="rId26"/>
          <w:footerReference w:type="default" r:id="rId27"/>
          <w:headerReference w:type="first" r:id="rId28"/>
          <w:pgSz w:w="11906" w:h="16838" w:code="9"/>
          <w:pgMar w:top="1418" w:right="1134" w:bottom="1418" w:left="2268" w:header="709" w:footer="443" w:gutter="0"/>
          <w:pgNumType w:start="8"/>
          <w:cols w:space="708"/>
          <w:docGrid w:linePitch="326"/>
        </w:sectPr>
      </w:pPr>
    </w:p>
    <w:p w14:paraId="5A548EDF" w14:textId="77777777" w:rsidR="00097FD1" w:rsidRPr="00495729" w:rsidRDefault="007B056E" w:rsidP="00625F4B">
      <w:pPr>
        <w:pStyle w:val="Nadpis2"/>
      </w:pPr>
      <w:bookmarkStart w:id="24" w:name="_Toc281822800"/>
      <w:r w:rsidRPr="00495729">
        <w:t>Srovnání ČR a PL ve vybraných ukazatelích zaměstnanosti a nezaměstnanosti</w:t>
      </w:r>
      <w:bookmarkEnd w:id="24"/>
    </w:p>
    <w:p w14:paraId="78F9EEB4" w14:textId="77777777" w:rsidR="00FB0773" w:rsidRPr="00AC5688" w:rsidRDefault="00FB0773" w:rsidP="00D12EBE">
      <w:pPr>
        <w:widowControl w:val="0"/>
        <w:autoSpaceDE w:val="0"/>
        <w:autoSpaceDN w:val="0"/>
        <w:adjustRightInd w:val="0"/>
        <w:spacing w:after="20"/>
      </w:pPr>
      <w:r w:rsidRPr="00AC5688">
        <w:t>Níže jsou vybrány ukazatele míry nezaměstnanosti podle pohlaví, věku a státu. Na závěr této podka</w:t>
      </w:r>
      <w:r w:rsidR="0056274E" w:rsidRPr="00AC5688">
        <w:t>pitoly bude rozebrán i ukazatel produktivity provedené práce na 1 odpracovanou hodinu</w:t>
      </w:r>
      <w:r w:rsidR="00E11EFB">
        <w:t xml:space="preserve"> a doba trváni pracovního života podle pohlaví</w:t>
      </w:r>
      <w:r w:rsidR="00495729" w:rsidRPr="00AC5688">
        <w:t>.</w:t>
      </w:r>
    </w:p>
    <w:p w14:paraId="27476C99" w14:textId="77777777" w:rsidR="00AC5688" w:rsidRPr="00AC5688" w:rsidRDefault="00971B33" w:rsidP="00D12EBE">
      <w:pPr>
        <w:widowControl w:val="0"/>
        <w:autoSpaceDE w:val="0"/>
        <w:autoSpaceDN w:val="0"/>
        <w:adjustRightInd w:val="0"/>
        <w:spacing w:after="20"/>
      </w:pPr>
      <w:r>
        <w:t>Následující grafy se věnují míře zaměstnanosti u žen, mužů a celkové zamě</w:t>
      </w:r>
      <w:r w:rsidR="00AC5688" w:rsidRPr="00AC5688">
        <w:t xml:space="preserve">stnanosti. </w:t>
      </w:r>
    </w:p>
    <w:p w14:paraId="7A1DF123" w14:textId="77777777" w:rsidR="00AC5688" w:rsidRDefault="00AC5688" w:rsidP="00625F4B">
      <w:pPr>
        <w:spacing w:after="20"/>
        <w:rPr>
          <w:sz w:val="22"/>
          <w:szCs w:val="22"/>
        </w:rPr>
      </w:pPr>
    </w:p>
    <w:p w14:paraId="69B8B776" w14:textId="77777777" w:rsidR="00D23CCB" w:rsidRPr="00D23CCB" w:rsidRDefault="00E11EFB" w:rsidP="00625F4B">
      <w:pPr>
        <w:spacing w:after="20"/>
        <w:rPr>
          <w:b/>
          <w:szCs w:val="24"/>
          <w:u w:val="single"/>
        </w:rPr>
      </w:pPr>
      <w:r>
        <w:rPr>
          <w:b/>
          <w:szCs w:val="24"/>
          <w:u w:val="single"/>
        </w:rPr>
        <w:t>Nez</w:t>
      </w:r>
      <w:r w:rsidR="00971B33">
        <w:rPr>
          <w:b/>
          <w:szCs w:val="24"/>
          <w:u w:val="single"/>
        </w:rPr>
        <w:t>aměs</w:t>
      </w:r>
      <w:r w:rsidR="00D23CCB" w:rsidRPr="00D23CCB">
        <w:rPr>
          <w:b/>
          <w:szCs w:val="24"/>
          <w:u w:val="single"/>
        </w:rPr>
        <w:t xml:space="preserve">tnanost podle pohlaví </w:t>
      </w:r>
    </w:p>
    <w:p w14:paraId="6E630B7F" w14:textId="77777777" w:rsidR="00E11EFB" w:rsidRDefault="00971B33" w:rsidP="00D12EBE">
      <w:pPr>
        <w:widowControl w:val="0"/>
        <w:autoSpaceDE w:val="0"/>
        <w:autoSpaceDN w:val="0"/>
        <w:adjustRightInd w:val="0"/>
        <w:spacing w:after="240"/>
      </w:pPr>
      <w:r>
        <w:t>Dů</w:t>
      </w:r>
      <w:r w:rsidR="00D23CCB" w:rsidRPr="00D23CCB">
        <w:t>ležitým aspektem ekonomického výkonu je</w:t>
      </w:r>
      <w:r>
        <w:t xml:space="preserve"> využití hlavního zdroje společ</w:t>
      </w:r>
      <w:r w:rsidR="00D23CCB" w:rsidRPr="00D23CCB">
        <w:t>nosti, tedy lidského kapitálu obou p</w:t>
      </w:r>
      <w:r>
        <w:t xml:space="preserve">ohlaví. Následující grafy se věnují míře </w:t>
      </w:r>
      <w:r w:rsidR="00E11EFB">
        <w:t>ne</w:t>
      </w:r>
      <w:r>
        <w:t>zaměstnanosti u žen, mužů a celkové zamě</w:t>
      </w:r>
      <w:r w:rsidR="00D23CCB" w:rsidRPr="00D23CCB">
        <w:t>stnano</w:t>
      </w:r>
      <w:r>
        <w:t>sti. Jedná se o obyvatele ve věku 15 až 64 let. Tato míra zaměstnanosti se vypočítá vydělením počtu zamě</w:t>
      </w:r>
      <w:r w:rsidR="00C650B8">
        <w:t>stnaných osob ve vě</w:t>
      </w:r>
      <w:r w:rsidR="00D23CCB" w:rsidRPr="00D23CCB">
        <w:t xml:space="preserve">ku 15 až </w:t>
      </w:r>
      <w:r w:rsidR="00C650B8">
        <w:t>64 let počtem celkového součtu obyvatel stejné věkové skupiny. Tento prů</w:t>
      </w:r>
      <w:r w:rsidR="00D23CCB" w:rsidRPr="00D23CCB">
        <w:t>zkum zahrnuje veškerou populaci žijící ve</w:t>
      </w:r>
      <w:r w:rsidR="00C650B8">
        <w:t xml:space="preserve"> vlastních domácnostech a vylučuje tu č</w:t>
      </w:r>
      <w:r w:rsidR="00D23CCB" w:rsidRPr="00D23CCB">
        <w:t xml:space="preserve">ást populace žijící po penzionech, </w:t>
      </w:r>
      <w:r w:rsidR="00C650B8">
        <w:t>kolejích nebo nemocnicích. Výdělečně či</w:t>
      </w:r>
      <w:r w:rsidR="00D23CCB" w:rsidRPr="00D23CCB">
        <w:t xml:space="preserve">nné obyvatelstvo se </w:t>
      </w:r>
      <w:r w:rsidR="00C650B8">
        <w:t>skládá z těch, kteří v referenčním týdnu odvedou nějakou placenou práci, minimálně</w:t>
      </w:r>
      <w:r w:rsidR="00D23CCB" w:rsidRPr="00D23CCB">
        <w:t xml:space="preserve"> jednu hodinu nebo ti, kt</w:t>
      </w:r>
      <w:r w:rsidR="00C650B8">
        <w:t>eří práci mají, ale momentálně</w:t>
      </w:r>
      <w:r w:rsidR="00D23CCB" w:rsidRPr="00D23CCB">
        <w:t xml:space="preserve"> nep</w:t>
      </w:r>
      <w:r w:rsidR="00C650B8">
        <w:t>racují nebo nepracovali pro dočasnou nepř</w:t>
      </w:r>
      <w:r w:rsidR="00D23CCB" w:rsidRPr="00D23CCB">
        <w:t xml:space="preserve">ítomnost. </w:t>
      </w:r>
      <w:r w:rsidR="00524607">
        <w:t>(bussinesinfo.cz, 2014)</w:t>
      </w:r>
    </w:p>
    <w:p w14:paraId="4B59E0C2" w14:textId="77777777" w:rsidR="00E81D09" w:rsidRPr="00D23CCB" w:rsidRDefault="00E81D09" w:rsidP="00E81D09">
      <w:pPr>
        <w:spacing w:after="20"/>
        <w:rPr>
          <w:b/>
          <w:szCs w:val="24"/>
          <w:u w:val="single"/>
        </w:rPr>
      </w:pPr>
      <w:r>
        <w:rPr>
          <w:b/>
          <w:szCs w:val="24"/>
          <w:u w:val="single"/>
        </w:rPr>
        <w:t>Dopady nezamě</w:t>
      </w:r>
      <w:r w:rsidRPr="00D23CCB">
        <w:rPr>
          <w:b/>
          <w:szCs w:val="24"/>
          <w:u w:val="single"/>
        </w:rPr>
        <w:t xml:space="preserve">stnanosti </w:t>
      </w:r>
    </w:p>
    <w:p w14:paraId="64A5E548" w14:textId="6161E0D0" w:rsidR="00E81D09" w:rsidRPr="000C054F" w:rsidRDefault="00E81D09" w:rsidP="00D12EBE">
      <w:pPr>
        <w:widowControl w:val="0"/>
        <w:autoSpaceDE w:val="0"/>
        <w:autoSpaceDN w:val="0"/>
        <w:adjustRightInd w:val="0"/>
        <w:spacing w:after="240"/>
        <w:rPr>
          <w:bCs/>
          <w:szCs w:val="24"/>
        </w:rPr>
      </w:pPr>
      <w:r w:rsidRPr="00D23CCB">
        <w:rPr>
          <w:bCs/>
          <w:szCs w:val="24"/>
        </w:rPr>
        <w:t>Po</w:t>
      </w:r>
      <w:r>
        <w:rPr>
          <w:bCs/>
          <w:szCs w:val="24"/>
        </w:rPr>
        <w:t>dle Pavelky (2010, s. 122) „nepříznivé dopady nezaměstnanosti můžeme rozdě</w:t>
      </w:r>
      <w:r w:rsidRPr="00D23CCB">
        <w:rPr>
          <w:bCs/>
          <w:szCs w:val="24"/>
        </w:rPr>
        <w:t>lit na</w:t>
      </w:r>
      <w:r>
        <w:rPr>
          <w:bCs/>
          <w:szCs w:val="24"/>
        </w:rPr>
        <w:t xml:space="preserve"> ekonomické a sociální.“ Nezamě</w:t>
      </w:r>
      <w:r w:rsidRPr="00D23CCB">
        <w:rPr>
          <w:bCs/>
          <w:szCs w:val="24"/>
        </w:rPr>
        <w:t>stnanost je jistý druh plýtvání, ne</w:t>
      </w:r>
      <w:r>
        <w:rPr>
          <w:bCs/>
          <w:szCs w:val="24"/>
        </w:rPr>
        <w:t>boť při vysoké nezamě</w:t>
      </w:r>
      <w:r w:rsidRPr="00D23CCB">
        <w:rPr>
          <w:bCs/>
          <w:szCs w:val="24"/>
        </w:rPr>
        <w:t>stnan</w:t>
      </w:r>
      <w:r>
        <w:rPr>
          <w:bCs/>
          <w:szCs w:val="24"/>
        </w:rPr>
        <w:t>osti ekonomika vyprodukuje méně, než by mohla. Dlouhodobě nezaměstnaný člověk má pak sklony ke kriminalitě, alkoholismu či jiným neřestem. Dlouhodobě nezaměstnaným člověk se myslí ten, kdo je nezamě</w:t>
      </w:r>
      <w:r w:rsidRPr="00D23CCB">
        <w:rPr>
          <w:bCs/>
          <w:szCs w:val="24"/>
        </w:rPr>
        <w:t>stnaným déle než</w:t>
      </w:r>
      <w:r>
        <w:rPr>
          <w:bCs/>
          <w:szCs w:val="24"/>
        </w:rPr>
        <w:t xml:space="preserve"> rok. Po takové době člověk př</w:t>
      </w:r>
      <w:r w:rsidRPr="00D23CCB">
        <w:rPr>
          <w:bCs/>
          <w:szCs w:val="24"/>
        </w:rPr>
        <w:t>ijde o prac</w:t>
      </w:r>
      <w:r>
        <w:rPr>
          <w:bCs/>
          <w:szCs w:val="24"/>
        </w:rPr>
        <w:t>ovní návyky a stává se pracovně neatraktivním. Kraft, Bednář</w:t>
      </w:r>
      <w:r w:rsidRPr="00D23CCB">
        <w:rPr>
          <w:bCs/>
          <w:szCs w:val="24"/>
        </w:rPr>
        <w:t>o</w:t>
      </w:r>
      <w:r>
        <w:rPr>
          <w:bCs/>
          <w:szCs w:val="24"/>
        </w:rPr>
        <w:t>vá a Kocourek (2009, s. 60) uvádějí, že existují v podstatě dvě možnosti působení proti vysoké nezaměstnanosti a tě</w:t>
      </w:r>
      <w:r w:rsidRPr="00D23CCB">
        <w:rPr>
          <w:bCs/>
          <w:szCs w:val="24"/>
        </w:rPr>
        <w:t>mi jsou „stimulace poptávky po prác</w:t>
      </w:r>
      <w:r>
        <w:rPr>
          <w:bCs/>
          <w:szCs w:val="24"/>
        </w:rPr>
        <w:t>i ze strany státu. Jde o vytvář</w:t>
      </w:r>
      <w:r w:rsidRPr="00D23CCB">
        <w:rPr>
          <w:bCs/>
          <w:szCs w:val="24"/>
        </w:rPr>
        <w:t>ení pra</w:t>
      </w:r>
      <w:r>
        <w:rPr>
          <w:bCs/>
          <w:szCs w:val="24"/>
        </w:rPr>
        <w:t>covních míst státní sférou, daňové úlevy podnikatelům zajišťujícím vysokou úroveň zamě</w:t>
      </w:r>
      <w:r w:rsidRPr="00D23CCB">
        <w:rPr>
          <w:bCs/>
          <w:szCs w:val="24"/>
        </w:rPr>
        <w:t>stnanosti, stimulace podnikatelských aktivit, podpora agreg</w:t>
      </w:r>
      <w:r>
        <w:rPr>
          <w:bCs/>
          <w:szCs w:val="24"/>
        </w:rPr>
        <w:t>átní poptávky a zvyšování koupě</w:t>
      </w:r>
      <w:r w:rsidRPr="00D23CCB">
        <w:rPr>
          <w:bCs/>
          <w:szCs w:val="24"/>
        </w:rPr>
        <w:t>schopnosti obyvatel atd.</w:t>
      </w:r>
      <w:r>
        <w:rPr>
          <w:bCs/>
          <w:szCs w:val="24"/>
        </w:rPr>
        <w:t xml:space="preserve"> </w:t>
      </w:r>
      <w:r w:rsidRPr="00D23CCB">
        <w:rPr>
          <w:bCs/>
          <w:szCs w:val="24"/>
        </w:rPr>
        <w:t xml:space="preserve">Nebo regulace nabídky práce. </w:t>
      </w:r>
      <w:r>
        <w:rPr>
          <w:bCs/>
          <w:szCs w:val="24"/>
        </w:rPr>
        <w:t>Jde o omezování vstupu zahraničních pracovníků na domácí trh práce, zajišťování rekvalifikací, zprostř</w:t>
      </w:r>
      <w:r w:rsidRPr="00D23CCB">
        <w:rPr>
          <w:bCs/>
          <w:szCs w:val="24"/>
        </w:rPr>
        <w:t xml:space="preserve">edkování informací </w:t>
      </w:r>
      <w:r>
        <w:rPr>
          <w:bCs/>
          <w:szCs w:val="24"/>
        </w:rPr>
        <w:t>o volných pracovních místech úř</w:t>
      </w:r>
      <w:r w:rsidRPr="00D23CCB">
        <w:rPr>
          <w:bCs/>
          <w:szCs w:val="24"/>
        </w:rPr>
        <w:t xml:space="preserve">ady práce atp.“ </w:t>
      </w:r>
    </w:p>
    <w:p w14:paraId="68BCFAF9" w14:textId="77777777" w:rsidR="00FB0773" w:rsidRDefault="00FB0773" w:rsidP="00625F4B">
      <w:pPr>
        <w:spacing w:after="20"/>
        <w:rPr>
          <w:sz w:val="22"/>
          <w:szCs w:val="22"/>
        </w:rPr>
      </w:pPr>
    </w:p>
    <w:p w14:paraId="4983557C" w14:textId="77777777" w:rsidR="000C054F" w:rsidRDefault="000C054F" w:rsidP="00625F4B">
      <w:pPr>
        <w:spacing w:after="20"/>
        <w:rPr>
          <w:sz w:val="22"/>
          <w:szCs w:val="22"/>
        </w:rPr>
      </w:pPr>
    </w:p>
    <w:p w14:paraId="4E73586D" w14:textId="77777777" w:rsidR="000C054F" w:rsidRDefault="000C054F" w:rsidP="00625F4B">
      <w:pPr>
        <w:spacing w:after="20"/>
        <w:rPr>
          <w:sz w:val="22"/>
          <w:szCs w:val="22"/>
        </w:rPr>
      </w:pPr>
    </w:p>
    <w:p w14:paraId="3A143A65" w14:textId="77777777" w:rsidR="000C054F" w:rsidRDefault="000C054F" w:rsidP="00625F4B">
      <w:pPr>
        <w:spacing w:after="20"/>
        <w:rPr>
          <w:sz w:val="22"/>
          <w:szCs w:val="22"/>
        </w:rPr>
      </w:pPr>
    </w:p>
    <w:p w14:paraId="351104A4" w14:textId="77777777" w:rsidR="000C054F" w:rsidRDefault="000C054F" w:rsidP="00625F4B">
      <w:pPr>
        <w:spacing w:after="20"/>
        <w:rPr>
          <w:sz w:val="22"/>
          <w:szCs w:val="22"/>
        </w:rPr>
      </w:pPr>
    </w:p>
    <w:p w14:paraId="68EBDA26" w14:textId="77777777" w:rsidR="000C054F" w:rsidRDefault="000C054F" w:rsidP="00625F4B">
      <w:pPr>
        <w:spacing w:after="20"/>
        <w:rPr>
          <w:sz w:val="22"/>
          <w:szCs w:val="22"/>
        </w:rPr>
      </w:pPr>
    </w:p>
    <w:p w14:paraId="5F2B29F2" w14:textId="77777777" w:rsidR="00716050" w:rsidRDefault="00716050" w:rsidP="00625F4B">
      <w:pPr>
        <w:spacing w:after="20"/>
        <w:rPr>
          <w:sz w:val="22"/>
          <w:szCs w:val="22"/>
        </w:rPr>
      </w:pPr>
    </w:p>
    <w:p w14:paraId="3B1CC417" w14:textId="77777777" w:rsidR="000C054F" w:rsidRDefault="000C054F" w:rsidP="00625F4B">
      <w:pPr>
        <w:spacing w:after="20"/>
        <w:rPr>
          <w:sz w:val="22"/>
          <w:szCs w:val="22"/>
        </w:rPr>
      </w:pPr>
    </w:p>
    <w:p w14:paraId="599B697D" w14:textId="77777777" w:rsidR="000C054F" w:rsidRDefault="000C054F" w:rsidP="00625F4B">
      <w:pPr>
        <w:spacing w:after="20"/>
        <w:rPr>
          <w:sz w:val="22"/>
          <w:szCs w:val="22"/>
        </w:rPr>
      </w:pPr>
    </w:p>
    <w:p w14:paraId="3A2AD706" w14:textId="77777777" w:rsidR="000C054F" w:rsidRDefault="000C054F" w:rsidP="00625F4B">
      <w:pPr>
        <w:spacing w:after="20"/>
        <w:rPr>
          <w:sz w:val="22"/>
          <w:szCs w:val="22"/>
        </w:rPr>
      </w:pPr>
    </w:p>
    <w:p w14:paraId="1887C943" w14:textId="77777777" w:rsidR="000C054F" w:rsidRDefault="000C054F" w:rsidP="00625F4B">
      <w:pPr>
        <w:spacing w:after="20"/>
        <w:rPr>
          <w:sz w:val="22"/>
          <w:szCs w:val="22"/>
        </w:rPr>
      </w:pPr>
    </w:p>
    <w:p w14:paraId="2C40DF24" w14:textId="77777777" w:rsidR="000C054F" w:rsidRDefault="000C054F" w:rsidP="00625F4B">
      <w:pPr>
        <w:spacing w:after="20"/>
        <w:rPr>
          <w:sz w:val="22"/>
          <w:szCs w:val="22"/>
        </w:rPr>
      </w:pPr>
    </w:p>
    <w:p w14:paraId="4FBD2CB6" w14:textId="77777777" w:rsidR="000C054F" w:rsidRPr="00FB0773" w:rsidRDefault="000C054F" w:rsidP="00625F4B">
      <w:pPr>
        <w:spacing w:after="20"/>
        <w:rPr>
          <w:sz w:val="22"/>
          <w:szCs w:val="22"/>
        </w:rPr>
      </w:pPr>
    </w:p>
    <w:p w14:paraId="34F51BC4" w14:textId="38827E82" w:rsidR="007B056E" w:rsidRPr="00716050" w:rsidRDefault="007B056E" w:rsidP="00625F4B">
      <w:pPr>
        <w:spacing w:after="20"/>
        <w:rPr>
          <w:sz w:val="22"/>
          <w:szCs w:val="22"/>
        </w:rPr>
      </w:pPr>
      <w:r w:rsidRPr="00A628A2">
        <w:rPr>
          <w:b/>
          <w:sz w:val="22"/>
          <w:szCs w:val="22"/>
        </w:rPr>
        <w:t xml:space="preserve">Graf </w:t>
      </w:r>
      <w:r w:rsidR="00030B57">
        <w:rPr>
          <w:b/>
          <w:sz w:val="22"/>
          <w:szCs w:val="22"/>
        </w:rPr>
        <w:t>7</w:t>
      </w:r>
      <w:r w:rsidRPr="00A21945">
        <w:rPr>
          <w:sz w:val="22"/>
          <w:szCs w:val="22"/>
        </w:rPr>
        <w:t xml:space="preserve"> Průměrná míra nezaměstnanosti žen a mužů (15-64let) v ČR, Polsku a EU (28)</w:t>
      </w:r>
      <w:r w:rsidR="00CB1B50">
        <w:rPr>
          <w:sz w:val="22"/>
          <w:szCs w:val="22"/>
        </w:rPr>
        <w:t xml:space="preserve">, </w:t>
      </w:r>
      <w:r w:rsidR="00142AE9">
        <w:rPr>
          <w:sz w:val="22"/>
          <w:szCs w:val="22"/>
        </w:rPr>
        <w:t xml:space="preserve">v procentuálním vyjádření, </w:t>
      </w:r>
      <w:r w:rsidR="00D24DB6" w:rsidRPr="00716050">
        <w:rPr>
          <w:bCs/>
          <w:sz w:val="22"/>
          <w:szCs w:val="22"/>
        </w:rPr>
        <w:t>v období 2008-2013</w:t>
      </w:r>
    </w:p>
    <w:p w14:paraId="3A370AF7" w14:textId="77777777" w:rsidR="007B056E" w:rsidRDefault="007B056E" w:rsidP="00625F4B">
      <w:pPr>
        <w:spacing w:after="20"/>
        <w:rPr>
          <w:szCs w:val="24"/>
        </w:rPr>
      </w:pPr>
      <w:r>
        <w:rPr>
          <w:noProof/>
          <w:lang w:eastAsia="ja-JP"/>
        </w:rPr>
        <w:drawing>
          <wp:inline distT="0" distB="0" distL="0" distR="0" wp14:anchorId="4980006E" wp14:editId="2B387BA2">
            <wp:extent cx="5178425" cy="3442000"/>
            <wp:effectExtent l="0" t="0" r="317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AC7A9F" w14:textId="3329A69C" w:rsidR="007B056E" w:rsidRPr="00A628A2" w:rsidRDefault="007B056E" w:rsidP="00625F4B">
      <w:pPr>
        <w:spacing w:after="20"/>
        <w:rPr>
          <w:sz w:val="22"/>
          <w:szCs w:val="22"/>
        </w:rPr>
      </w:pPr>
      <w:r w:rsidRPr="00A628A2">
        <w:rPr>
          <w:sz w:val="22"/>
          <w:szCs w:val="22"/>
        </w:rPr>
        <w:t xml:space="preserve">Zdroj: Eurostat, </w:t>
      </w:r>
      <w:r w:rsidR="0070449E" w:rsidRPr="00A628A2">
        <w:rPr>
          <w:sz w:val="22"/>
          <w:szCs w:val="22"/>
        </w:rPr>
        <w:t xml:space="preserve">Unemployment rate, by sex </w:t>
      </w:r>
      <w:r w:rsidR="004E2429" w:rsidRPr="00A628A2">
        <w:rPr>
          <w:sz w:val="22"/>
          <w:szCs w:val="22"/>
        </w:rPr>
        <w:t>(15</w:t>
      </w:r>
      <w:r w:rsidR="00CD1DF7" w:rsidRPr="00A628A2">
        <w:rPr>
          <w:sz w:val="22"/>
          <w:szCs w:val="22"/>
        </w:rPr>
        <w:t>-74</w:t>
      </w:r>
      <w:r w:rsidR="00C650B8" w:rsidRPr="00A628A2">
        <w:rPr>
          <w:sz w:val="22"/>
          <w:szCs w:val="22"/>
        </w:rPr>
        <w:t xml:space="preserve"> year old</w:t>
      </w:r>
      <w:r w:rsidRPr="00A628A2">
        <w:rPr>
          <w:sz w:val="22"/>
          <w:szCs w:val="22"/>
        </w:rPr>
        <w:t>)</w:t>
      </w:r>
      <w:r w:rsidR="00C650B8" w:rsidRPr="00A628A2">
        <w:rPr>
          <w:sz w:val="22"/>
          <w:szCs w:val="22"/>
        </w:rPr>
        <w:t xml:space="preserve"> (2014)</w:t>
      </w:r>
      <w:r w:rsidRPr="00A628A2">
        <w:rPr>
          <w:sz w:val="22"/>
          <w:szCs w:val="22"/>
        </w:rPr>
        <w:t>, vlastní úprava</w:t>
      </w:r>
    </w:p>
    <w:p w14:paraId="2FE91E3F" w14:textId="3E2A270F" w:rsidR="007B056E" w:rsidRPr="00A628A2" w:rsidRDefault="007B056E" w:rsidP="00625F4B">
      <w:pPr>
        <w:spacing w:after="20"/>
        <w:rPr>
          <w:sz w:val="22"/>
          <w:szCs w:val="22"/>
        </w:rPr>
      </w:pPr>
      <w:r w:rsidRPr="00A628A2">
        <w:rPr>
          <w:sz w:val="22"/>
          <w:szCs w:val="22"/>
        </w:rPr>
        <w:t>Po</w:t>
      </w:r>
      <w:r w:rsidR="00716050" w:rsidRPr="00A628A2">
        <w:rPr>
          <w:sz w:val="22"/>
          <w:szCs w:val="22"/>
        </w:rPr>
        <w:t>známka: graf vychází z tabulky 7 a 8</w:t>
      </w:r>
      <w:r w:rsidRPr="00A628A2">
        <w:rPr>
          <w:sz w:val="22"/>
          <w:szCs w:val="22"/>
        </w:rPr>
        <w:t>, uvedené v</w:t>
      </w:r>
      <w:r w:rsidR="00FB0773" w:rsidRPr="00A628A2">
        <w:rPr>
          <w:sz w:val="22"/>
          <w:szCs w:val="22"/>
        </w:rPr>
        <w:t> </w:t>
      </w:r>
      <w:r w:rsidRPr="00A628A2">
        <w:rPr>
          <w:sz w:val="22"/>
          <w:szCs w:val="22"/>
        </w:rPr>
        <w:t>příloze</w:t>
      </w:r>
    </w:p>
    <w:p w14:paraId="7644AC89" w14:textId="77777777" w:rsidR="00E11EFB" w:rsidRDefault="00E11EFB" w:rsidP="00625F4B">
      <w:pPr>
        <w:spacing w:after="20"/>
        <w:rPr>
          <w:szCs w:val="24"/>
        </w:rPr>
      </w:pPr>
    </w:p>
    <w:p w14:paraId="439C0758" w14:textId="77777777" w:rsidR="007B056E" w:rsidRDefault="007B056E" w:rsidP="00625F4B">
      <w:pPr>
        <w:spacing w:after="20"/>
        <w:rPr>
          <w:szCs w:val="24"/>
        </w:rPr>
      </w:pPr>
      <w:r w:rsidRPr="00FB0773">
        <w:rPr>
          <w:szCs w:val="24"/>
        </w:rPr>
        <w:t xml:space="preserve">Na tomto grafu je velmi patrné, že ženy mají mnohem větší </w:t>
      </w:r>
      <w:r w:rsidR="0056274E">
        <w:rPr>
          <w:szCs w:val="24"/>
        </w:rPr>
        <w:t xml:space="preserve">problém sehnat práci než muži. </w:t>
      </w:r>
      <w:r w:rsidRPr="00FB0773">
        <w:rPr>
          <w:szCs w:val="24"/>
        </w:rPr>
        <w:t xml:space="preserve">Nejnižší nezaměstnanost je po celou dobu sledování u mužů z ČR. </w:t>
      </w:r>
      <w:r w:rsidR="0056274E">
        <w:rPr>
          <w:szCs w:val="24"/>
        </w:rPr>
        <w:t>V roce 2008 byla míra nezaměstnanosti u mužů z ČR dokonce nejnižší za sled</w:t>
      </w:r>
      <w:r w:rsidR="00513412">
        <w:rPr>
          <w:szCs w:val="24"/>
        </w:rPr>
        <w:t>ované období a to 3,5. Oproti po</w:t>
      </w:r>
      <w:r w:rsidR="0056274E">
        <w:rPr>
          <w:szCs w:val="24"/>
        </w:rPr>
        <w:t>lským ženám, které v tomto roce měly míru nezaměstnanosti hodnoty 8, byli</w:t>
      </w:r>
      <w:r w:rsidR="00513412">
        <w:rPr>
          <w:szCs w:val="24"/>
        </w:rPr>
        <w:t xml:space="preserve"> čeští muži</w:t>
      </w:r>
      <w:r w:rsidR="0056274E">
        <w:rPr>
          <w:szCs w:val="24"/>
        </w:rPr>
        <w:t xml:space="preserve"> více jak 2 násobně v lepší situaci. </w:t>
      </w:r>
      <w:r w:rsidR="00513412">
        <w:rPr>
          <w:szCs w:val="24"/>
        </w:rPr>
        <w:t>N</w:t>
      </w:r>
      <w:r w:rsidRPr="00FB0773">
        <w:rPr>
          <w:szCs w:val="24"/>
        </w:rPr>
        <w:t xml:space="preserve">ejvyšší nezaměstnanost se </w:t>
      </w:r>
      <w:r w:rsidR="00513412">
        <w:rPr>
          <w:szCs w:val="24"/>
        </w:rPr>
        <w:t xml:space="preserve">skoro stále drží žen z Polska. Nejlépe si po sledované období stojí muži i ženy z ČR a to i mnohém níž než průměr EU (28). </w:t>
      </w:r>
      <w:r w:rsidR="0056274E">
        <w:rPr>
          <w:szCs w:val="24"/>
        </w:rPr>
        <w:t>Kritické autorka této seminární práce vidí, že míra nezaměstnanosti kontinuálně u obou států stoupá.</w:t>
      </w:r>
      <w:r w:rsidR="00513412">
        <w:rPr>
          <w:szCs w:val="24"/>
        </w:rPr>
        <w:t xml:space="preserve"> </w:t>
      </w:r>
    </w:p>
    <w:p w14:paraId="53D2934F" w14:textId="77777777" w:rsidR="00FB0773" w:rsidRDefault="00FB0773" w:rsidP="00625F4B">
      <w:pPr>
        <w:spacing w:after="20"/>
        <w:rPr>
          <w:szCs w:val="24"/>
        </w:rPr>
      </w:pPr>
    </w:p>
    <w:p w14:paraId="12F88F46" w14:textId="77777777" w:rsidR="000C054F" w:rsidRDefault="000C054F" w:rsidP="00625F4B">
      <w:pPr>
        <w:spacing w:after="20"/>
        <w:rPr>
          <w:rStyle w:val="Siln"/>
        </w:rPr>
      </w:pPr>
    </w:p>
    <w:p w14:paraId="649D279D" w14:textId="77777777" w:rsidR="000C054F" w:rsidRDefault="000C054F" w:rsidP="00625F4B">
      <w:pPr>
        <w:spacing w:after="20"/>
        <w:rPr>
          <w:rStyle w:val="Siln"/>
        </w:rPr>
      </w:pPr>
    </w:p>
    <w:p w14:paraId="7C05968C" w14:textId="77777777" w:rsidR="000C054F" w:rsidRDefault="000C054F" w:rsidP="00625F4B">
      <w:pPr>
        <w:spacing w:after="20"/>
        <w:rPr>
          <w:rStyle w:val="Siln"/>
        </w:rPr>
      </w:pPr>
    </w:p>
    <w:p w14:paraId="7D6D7F94" w14:textId="77777777" w:rsidR="000C054F" w:rsidRDefault="000C054F" w:rsidP="00625F4B">
      <w:pPr>
        <w:spacing w:after="20"/>
        <w:rPr>
          <w:rStyle w:val="Siln"/>
        </w:rPr>
      </w:pPr>
    </w:p>
    <w:p w14:paraId="6CC44161" w14:textId="77777777" w:rsidR="000C054F" w:rsidRDefault="000C054F" w:rsidP="00625F4B">
      <w:pPr>
        <w:spacing w:after="20"/>
        <w:rPr>
          <w:rStyle w:val="Siln"/>
        </w:rPr>
      </w:pPr>
    </w:p>
    <w:p w14:paraId="400D26BE" w14:textId="77777777" w:rsidR="000C054F" w:rsidRDefault="000C054F" w:rsidP="00625F4B">
      <w:pPr>
        <w:spacing w:after="20"/>
        <w:rPr>
          <w:rStyle w:val="Siln"/>
        </w:rPr>
      </w:pPr>
    </w:p>
    <w:p w14:paraId="53940E48" w14:textId="77777777" w:rsidR="000C054F" w:rsidRDefault="000C054F" w:rsidP="00625F4B">
      <w:pPr>
        <w:spacing w:after="20"/>
        <w:rPr>
          <w:rStyle w:val="Siln"/>
        </w:rPr>
      </w:pPr>
    </w:p>
    <w:p w14:paraId="71F4B007" w14:textId="77777777" w:rsidR="000C054F" w:rsidRDefault="000C054F" w:rsidP="00625F4B">
      <w:pPr>
        <w:spacing w:after="20"/>
        <w:rPr>
          <w:rStyle w:val="Siln"/>
        </w:rPr>
      </w:pPr>
    </w:p>
    <w:p w14:paraId="5311EE82" w14:textId="77777777" w:rsidR="000C054F" w:rsidRDefault="000C054F" w:rsidP="00625F4B">
      <w:pPr>
        <w:spacing w:after="20"/>
        <w:rPr>
          <w:rStyle w:val="Siln"/>
        </w:rPr>
      </w:pPr>
    </w:p>
    <w:p w14:paraId="71F7D5B4" w14:textId="77777777" w:rsidR="000C054F" w:rsidRDefault="000C054F" w:rsidP="00625F4B">
      <w:pPr>
        <w:spacing w:after="20"/>
        <w:rPr>
          <w:rStyle w:val="Siln"/>
        </w:rPr>
      </w:pPr>
    </w:p>
    <w:p w14:paraId="4BCE4A7C" w14:textId="77777777" w:rsidR="000C054F" w:rsidRDefault="000C054F" w:rsidP="00625F4B">
      <w:pPr>
        <w:spacing w:after="20"/>
        <w:rPr>
          <w:rStyle w:val="Siln"/>
        </w:rPr>
      </w:pPr>
    </w:p>
    <w:p w14:paraId="488084C4" w14:textId="77777777" w:rsidR="00716050" w:rsidRDefault="00716050" w:rsidP="00625F4B">
      <w:pPr>
        <w:spacing w:after="20"/>
        <w:rPr>
          <w:rStyle w:val="Siln"/>
        </w:rPr>
      </w:pPr>
    </w:p>
    <w:p w14:paraId="440C46B2" w14:textId="77777777" w:rsidR="000C054F" w:rsidRDefault="000C054F" w:rsidP="00625F4B">
      <w:pPr>
        <w:spacing w:after="20"/>
        <w:rPr>
          <w:rStyle w:val="Siln"/>
        </w:rPr>
      </w:pPr>
    </w:p>
    <w:p w14:paraId="2600F7BA" w14:textId="77777777" w:rsidR="000C054F" w:rsidRDefault="000C054F" w:rsidP="00625F4B">
      <w:pPr>
        <w:spacing w:after="20"/>
        <w:rPr>
          <w:rStyle w:val="Siln"/>
        </w:rPr>
      </w:pPr>
    </w:p>
    <w:p w14:paraId="0E2C64FA" w14:textId="77777777" w:rsidR="000C054F" w:rsidRDefault="000C054F" w:rsidP="00625F4B">
      <w:pPr>
        <w:spacing w:after="20"/>
        <w:rPr>
          <w:rStyle w:val="Siln"/>
        </w:rPr>
      </w:pPr>
    </w:p>
    <w:p w14:paraId="506A1D75" w14:textId="3F4BDF0E" w:rsidR="007B056E" w:rsidRPr="00716050" w:rsidRDefault="00030B57" w:rsidP="00625F4B">
      <w:pPr>
        <w:spacing w:after="20"/>
        <w:rPr>
          <w:sz w:val="22"/>
          <w:szCs w:val="22"/>
        </w:rPr>
      </w:pPr>
      <w:r>
        <w:rPr>
          <w:b/>
          <w:bCs/>
          <w:sz w:val="22"/>
          <w:szCs w:val="22"/>
        </w:rPr>
        <w:t>Graf 8</w:t>
      </w:r>
      <w:r w:rsidR="007B056E" w:rsidRPr="00716050">
        <w:rPr>
          <w:b/>
          <w:bCs/>
          <w:sz w:val="22"/>
          <w:szCs w:val="22"/>
        </w:rPr>
        <w:t xml:space="preserve"> </w:t>
      </w:r>
      <w:r w:rsidR="007B056E" w:rsidRPr="00716050">
        <w:rPr>
          <w:sz w:val="22"/>
          <w:szCs w:val="22"/>
        </w:rPr>
        <w:t xml:space="preserve">Průměrná míra nezaměstnanosti žen i mužů </w:t>
      </w:r>
      <w:r w:rsidR="007B056E" w:rsidRPr="00A21945">
        <w:rPr>
          <w:sz w:val="22"/>
          <w:szCs w:val="22"/>
        </w:rPr>
        <w:t>15 až 24 let a 25 až 64 let</w:t>
      </w:r>
      <w:r w:rsidR="00D24DB6">
        <w:rPr>
          <w:sz w:val="22"/>
          <w:szCs w:val="22"/>
        </w:rPr>
        <w:t xml:space="preserve"> </w:t>
      </w:r>
      <w:r w:rsidR="00D24DB6" w:rsidRPr="00716050">
        <w:rPr>
          <w:bCs/>
          <w:sz w:val="22"/>
          <w:szCs w:val="22"/>
        </w:rPr>
        <w:t xml:space="preserve">v ČR, Polsku a EU (28) </w:t>
      </w:r>
      <w:r w:rsidR="00CB1B50">
        <w:rPr>
          <w:bCs/>
          <w:sz w:val="22"/>
          <w:szCs w:val="22"/>
        </w:rPr>
        <w:t xml:space="preserve">, </w:t>
      </w:r>
      <w:r w:rsidR="00CB1B50">
        <w:rPr>
          <w:sz w:val="22"/>
          <w:szCs w:val="22"/>
        </w:rPr>
        <w:t xml:space="preserve">v procentuálním vyjádření, </w:t>
      </w:r>
      <w:r w:rsidR="00D24DB6" w:rsidRPr="00716050">
        <w:rPr>
          <w:bCs/>
          <w:sz w:val="22"/>
          <w:szCs w:val="22"/>
        </w:rPr>
        <w:t>v období 2008-2013</w:t>
      </w:r>
    </w:p>
    <w:p w14:paraId="11F8F097" w14:textId="77777777" w:rsidR="007B056E" w:rsidRDefault="007B056E" w:rsidP="00625F4B">
      <w:pPr>
        <w:spacing w:after="20"/>
        <w:rPr>
          <w:szCs w:val="24"/>
        </w:rPr>
      </w:pPr>
      <w:r>
        <w:rPr>
          <w:noProof/>
          <w:lang w:eastAsia="ja-JP"/>
        </w:rPr>
        <w:drawing>
          <wp:inline distT="0" distB="0" distL="0" distR="0" wp14:anchorId="03F47687" wp14:editId="31803476">
            <wp:extent cx="5636260" cy="3112376"/>
            <wp:effectExtent l="0" t="0" r="254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329797" w14:textId="7007EDAE" w:rsidR="007B056E" w:rsidRPr="00BC24BC" w:rsidRDefault="00402E4D" w:rsidP="00625F4B">
      <w:pPr>
        <w:spacing w:after="20"/>
        <w:jc w:val="left"/>
        <w:rPr>
          <w:sz w:val="22"/>
          <w:szCs w:val="22"/>
        </w:rPr>
      </w:pPr>
      <w:r>
        <w:rPr>
          <w:sz w:val="22"/>
          <w:szCs w:val="22"/>
        </w:rPr>
        <w:t>Zdroj: Eurostat,</w:t>
      </w:r>
      <w:r w:rsidR="007B056E" w:rsidRPr="00A21945">
        <w:rPr>
          <w:bCs/>
          <w:sz w:val="22"/>
          <w:szCs w:val="22"/>
        </w:rPr>
        <w:t xml:space="preserve"> </w:t>
      </w:r>
      <w:r w:rsidR="004C7785" w:rsidRPr="004C7785">
        <w:rPr>
          <w:sz w:val="22"/>
          <w:szCs w:val="22"/>
        </w:rPr>
        <w:t>Unemployment rate, by sex</w:t>
      </w:r>
      <w:r w:rsidR="004C7785" w:rsidRPr="00A21945">
        <w:rPr>
          <w:sz w:val="22"/>
          <w:szCs w:val="22"/>
        </w:rPr>
        <w:t xml:space="preserve"> </w:t>
      </w:r>
      <w:r w:rsidR="00C650B8">
        <w:rPr>
          <w:sz w:val="22"/>
          <w:szCs w:val="22"/>
        </w:rPr>
        <w:t>(15-24 year old</w:t>
      </w:r>
      <w:r w:rsidR="004C7785">
        <w:rPr>
          <w:sz w:val="22"/>
          <w:szCs w:val="22"/>
        </w:rPr>
        <w:t>) and</w:t>
      </w:r>
      <w:r w:rsidR="007B056E" w:rsidRPr="00A21945">
        <w:rPr>
          <w:sz w:val="22"/>
          <w:szCs w:val="22"/>
        </w:rPr>
        <w:t xml:space="preserve"> </w:t>
      </w:r>
      <w:r w:rsidR="00E81D09">
        <w:rPr>
          <w:sz w:val="22"/>
          <w:szCs w:val="22"/>
        </w:rPr>
        <w:t>(25-7</w:t>
      </w:r>
      <w:r w:rsidR="00C650B8">
        <w:rPr>
          <w:sz w:val="22"/>
          <w:szCs w:val="22"/>
        </w:rPr>
        <w:t>4 year old</w:t>
      </w:r>
      <w:r w:rsidR="004C7785">
        <w:rPr>
          <w:sz w:val="22"/>
          <w:szCs w:val="22"/>
        </w:rPr>
        <w:t>)</w:t>
      </w:r>
      <w:r w:rsidR="007B056E" w:rsidRPr="00BC24BC">
        <w:rPr>
          <w:sz w:val="22"/>
          <w:szCs w:val="22"/>
        </w:rPr>
        <w:t xml:space="preserve"> (2014), vlastní úprava</w:t>
      </w:r>
    </w:p>
    <w:p w14:paraId="2DEE4151" w14:textId="7CCFAF62" w:rsidR="007B056E" w:rsidRDefault="007B056E" w:rsidP="00625F4B">
      <w:pPr>
        <w:spacing w:after="20"/>
        <w:jc w:val="left"/>
        <w:rPr>
          <w:sz w:val="22"/>
          <w:szCs w:val="22"/>
        </w:rPr>
      </w:pPr>
      <w:r w:rsidRPr="00BC24BC">
        <w:rPr>
          <w:sz w:val="22"/>
          <w:szCs w:val="22"/>
        </w:rPr>
        <w:t>Poz</w:t>
      </w:r>
      <w:r w:rsidR="00716050">
        <w:rPr>
          <w:sz w:val="22"/>
          <w:szCs w:val="22"/>
        </w:rPr>
        <w:t>námka: graf vychází z tabulky 9</w:t>
      </w:r>
      <w:r w:rsidR="00FB0773">
        <w:rPr>
          <w:sz w:val="22"/>
          <w:szCs w:val="22"/>
        </w:rPr>
        <w:t xml:space="preserve"> a</w:t>
      </w:r>
      <w:r w:rsidR="00716050">
        <w:rPr>
          <w:sz w:val="22"/>
          <w:szCs w:val="22"/>
        </w:rPr>
        <w:t xml:space="preserve"> 10</w:t>
      </w:r>
      <w:r>
        <w:rPr>
          <w:sz w:val="22"/>
          <w:szCs w:val="22"/>
        </w:rPr>
        <w:t>,</w:t>
      </w:r>
      <w:r w:rsidRPr="00BC24BC">
        <w:rPr>
          <w:sz w:val="22"/>
          <w:szCs w:val="22"/>
        </w:rPr>
        <w:t xml:space="preserve"> uvedené v</w:t>
      </w:r>
      <w:r>
        <w:rPr>
          <w:sz w:val="22"/>
          <w:szCs w:val="22"/>
        </w:rPr>
        <w:t> </w:t>
      </w:r>
      <w:r w:rsidRPr="00BC24BC">
        <w:rPr>
          <w:sz w:val="22"/>
          <w:szCs w:val="22"/>
        </w:rPr>
        <w:t>příloze</w:t>
      </w:r>
    </w:p>
    <w:p w14:paraId="284C8284" w14:textId="77777777" w:rsidR="007B056E" w:rsidRDefault="007B056E" w:rsidP="00625F4B">
      <w:pPr>
        <w:spacing w:after="20"/>
        <w:jc w:val="left"/>
        <w:rPr>
          <w:sz w:val="22"/>
          <w:szCs w:val="22"/>
        </w:rPr>
      </w:pPr>
    </w:p>
    <w:p w14:paraId="1A37BD60" w14:textId="3BC0D702" w:rsidR="007B056E" w:rsidRPr="00FB0773" w:rsidRDefault="00495729" w:rsidP="00D12EBE">
      <w:pPr>
        <w:spacing w:after="20"/>
        <w:rPr>
          <w:szCs w:val="24"/>
        </w:rPr>
      </w:pPr>
      <w:r>
        <w:rPr>
          <w:szCs w:val="24"/>
        </w:rPr>
        <w:t>Zde</w:t>
      </w:r>
      <w:r w:rsidR="007B056E" w:rsidRPr="00FB0773">
        <w:rPr>
          <w:szCs w:val="24"/>
        </w:rPr>
        <w:t xml:space="preserve"> jasně vidíme, že nezaměstnanost u mladých lidí 15 až 24 let je mnohem vyšší, </w:t>
      </w:r>
      <w:r w:rsidR="00E81D09">
        <w:rPr>
          <w:szCs w:val="24"/>
        </w:rPr>
        <w:t>než u mužů a žen ve věku 25 až 7</w:t>
      </w:r>
      <w:r w:rsidR="007B056E" w:rsidRPr="00FB0773">
        <w:rPr>
          <w:szCs w:val="24"/>
        </w:rPr>
        <w:t xml:space="preserve">4 let. V některých případech až několikanásobně, jako například v roce 2009 v ČR. U mužů a žen ve věku 15 až 24 let byla míra nezaměstnanosti 2,8 krát vyšší </w:t>
      </w:r>
      <w:r w:rsidR="00E81D09">
        <w:rPr>
          <w:szCs w:val="24"/>
        </w:rPr>
        <w:t>než u mužů a žen ve věku 25 až 7</w:t>
      </w:r>
      <w:r w:rsidR="007B056E" w:rsidRPr="00FB0773">
        <w:rPr>
          <w:szCs w:val="24"/>
        </w:rPr>
        <w:t>4 let. Z grafu také vidíme, že míra nezaměstnanosti mla</w:t>
      </w:r>
      <w:r>
        <w:rPr>
          <w:szCs w:val="24"/>
        </w:rPr>
        <w:t>dých lidí kontinuálně stoupá. Ne</w:t>
      </w:r>
      <w:r w:rsidR="007B056E" w:rsidRPr="00FB0773">
        <w:rPr>
          <w:szCs w:val="24"/>
        </w:rPr>
        <w:t>jvíce nezaměstnaných mladých lidí je v Polsku, ČR je</w:t>
      </w:r>
      <w:r w:rsidR="00513412">
        <w:rPr>
          <w:szCs w:val="24"/>
        </w:rPr>
        <w:t xml:space="preserve"> pod obecným průměrem států EU.  M</w:t>
      </w:r>
      <w:r w:rsidR="007B056E" w:rsidRPr="00FB0773">
        <w:rPr>
          <w:szCs w:val="24"/>
        </w:rPr>
        <w:t>í</w:t>
      </w:r>
      <w:r w:rsidR="00513412">
        <w:rPr>
          <w:szCs w:val="24"/>
        </w:rPr>
        <w:t>ra ukazatelů obou věkových kategorií je po celé sledované období v ČR nejnižší.</w:t>
      </w:r>
      <w:r w:rsidR="00E016AB">
        <w:rPr>
          <w:szCs w:val="24"/>
        </w:rPr>
        <w:t xml:space="preserve"> Polsko si s věkovou kategorií 15 až 24 stojí po celé sledované období naopak nejhůře z obou sledovaných států a míra nezaměstnanosti u těchto osob stále stoupá. </w:t>
      </w:r>
    </w:p>
    <w:p w14:paraId="6768C0EC" w14:textId="77777777" w:rsidR="007B056E" w:rsidRDefault="007B056E" w:rsidP="00625F4B">
      <w:pPr>
        <w:spacing w:after="20"/>
        <w:rPr>
          <w:szCs w:val="24"/>
        </w:rPr>
      </w:pPr>
    </w:p>
    <w:p w14:paraId="2DFDE432" w14:textId="77777777" w:rsidR="00E81D09" w:rsidRDefault="00E81D09" w:rsidP="00625F4B">
      <w:pPr>
        <w:spacing w:after="20"/>
        <w:rPr>
          <w:b/>
          <w:szCs w:val="24"/>
        </w:rPr>
      </w:pPr>
    </w:p>
    <w:p w14:paraId="002821E4" w14:textId="77777777" w:rsidR="00E81D09" w:rsidRDefault="00E81D09" w:rsidP="00625F4B">
      <w:pPr>
        <w:spacing w:after="20"/>
        <w:rPr>
          <w:b/>
          <w:szCs w:val="24"/>
        </w:rPr>
      </w:pPr>
    </w:p>
    <w:p w14:paraId="1EA8E57F" w14:textId="77777777" w:rsidR="00E81D09" w:rsidRDefault="00E81D09" w:rsidP="00625F4B">
      <w:pPr>
        <w:spacing w:after="20"/>
        <w:rPr>
          <w:b/>
          <w:szCs w:val="24"/>
        </w:rPr>
      </w:pPr>
    </w:p>
    <w:p w14:paraId="5078FF6C" w14:textId="77777777" w:rsidR="00E81D09" w:rsidRDefault="00E81D09" w:rsidP="00625F4B">
      <w:pPr>
        <w:spacing w:after="20"/>
        <w:rPr>
          <w:b/>
          <w:szCs w:val="24"/>
        </w:rPr>
      </w:pPr>
    </w:p>
    <w:p w14:paraId="4CEBA2A2" w14:textId="77777777" w:rsidR="00E81D09" w:rsidRDefault="00E81D09" w:rsidP="00625F4B">
      <w:pPr>
        <w:spacing w:after="20"/>
        <w:rPr>
          <w:b/>
          <w:szCs w:val="24"/>
        </w:rPr>
      </w:pPr>
    </w:p>
    <w:p w14:paraId="06CAF6E0" w14:textId="77777777" w:rsidR="00E81D09" w:rsidRDefault="00E81D09" w:rsidP="00625F4B">
      <w:pPr>
        <w:spacing w:after="20"/>
        <w:rPr>
          <w:b/>
          <w:szCs w:val="24"/>
        </w:rPr>
      </w:pPr>
    </w:p>
    <w:p w14:paraId="466E9721" w14:textId="77777777" w:rsidR="000C054F" w:rsidRDefault="000C054F" w:rsidP="00625F4B">
      <w:pPr>
        <w:spacing w:after="20"/>
        <w:rPr>
          <w:b/>
          <w:szCs w:val="24"/>
        </w:rPr>
      </w:pPr>
    </w:p>
    <w:p w14:paraId="1BA8990B" w14:textId="77777777" w:rsidR="000C054F" w:rsidRDefault="000C054F" w:rsidP="00625F4B">
      <w:pPr>
        <w:spacing w:after="20"/>
        <w:rPr>
          <w:b/>
          <w:szCs w:val="24"/>
        </w:rPr>
      </w:pPr>
    </w:p>
    <w:p w14:paraId="2E03FC7C" w14:textId="77777777" w:rsidR="000C054F" w:rsidRDefault="000C054F" w:rsidP="00625F4B">
      <w:pPr>
        <w:spacing w:after="20"/>
        <w:rPr>
          <w:b/>
          <w:szCs w:val="24"/>
        </w:rPr>
      </w:pPr>
    </w:p>
    <w:p w14:paraId="69F9F171" w14:textId="77777777" w:rsidR="000C054F" w:rsidRDefault="000C054F" w:rsidP="00625F4B">
      <w:pPr>
        <w:spacing w:after="20"/>
        <w:rPr>
          <w:b/>
          <w:szCs w:val="24"/>
        </w:rPr>
      </w:pPr>
    </w:p>
    <w:p w14:paraId="34B0786F" w14:textId="77777777" w:rsidR="000C054F" w:rsidRDefault="000C054F" w:rsidP="00625F4B">
      <w:pPr>
        <w:spacing w:after="20"/>
        <w:rPr>
          <w:b/>
          <w:szCs w:val="24"/>
        </w:rPr>
      </w:pPr>
    </w:p>
    <w:p w14:paraId="710901E1" w14:textId="77777777" w:rsidR="000C054F" w:rsidRDefault="000C054F" w:rsidP="00625F4B">
      <w:pPr>
        <w:spacing w:after="20"/>
        <w:rPr>
          <w:b/>
          <w:szCs w:val="24"/>
        </w:rPr>
      </w:pPr>
    </w:p>
    <w:p w14:paraId="019A007D" w14:textId="77777777" w:rsidR="000C054F" w:rsidRDefault="000C054F" w:rsidP="00625F4B">
      <w:pPr>
        <w:spacing w:after="20"/>
        <w:rPr>
          <w:b/>
          <w:szCs w:val="24"/>
        </w:rPr>
      </w:pPr>
    </w:p>
    <w:p w14:paraId="0C1176AF" w14:textId="77777777" w:rsidR="000C054F" w:rsidRDefault="000C054F" w:rsidP="00625F4B">
      <w:pPr>
        <w:spacing w:after="20"/>
        <w:rPr>
          <w:b/>
          <w:szCs w:val="24"/>
        </w:rPr>
      </w:pPr>
    </w:p>
    <w:p w14:paraId="1502BEB1" w14:textId="77777777" w:rsidR="000C054F" w:rsidRDefault="000C054F" w:rsidP="00625F4B">
      <w:pPr>
        <w:spacing w:after="20"/>
        <w:rPr>
          <w:b/>
          <w:szCs w:val="24"/>
        </w:rPr>
      </w:pPr>
    </w:p>
    <w:p w14:paraId="255A443D" w14:textId="77777777" w:rsidR="000C054F" w:rsidRDefault="000C054F" w:rsidP="00625F4B">
      <w:pPr>
        <w:spacing w:after="20"/>
        <w:rPr>
          <w:b/>
          <w:szCs w:val="24"/>
        </w:rPr>
      </w:pPr>
    </w:p>
    <w:p w14:paraId="6527DC9D" w14:textId="0724C7B5" w:rsidR="0040136C" w:rsidRPr="0040136C" w:rsidRDefault="0040136C" w:rsidP="00625F4B">
      <w:pPr>
        <w:spacing w:after="20"/>
        <w:rPr>
          <w:sz w:val="22"/>
          <w:szCs w:val="22"/>
        </w:rPr>
      </w:pPr>
      <w:r w:rsidRPr="00716050">
        <w:rPr>
          <w:b/>
          <w:sz w:val="22"/>
          <w:szCs w:val="22"/>
        </w:rPr>
        <w:t xml:space="preserve">Graf </w:t>
      </w:r>
      <w:r w:rsidR="00030B57">
        <w:rPr>
          <w:b/>
          <w:sz w:val="22"/>
          <w:szCs w:val="22"/>
        </w:rPr>
        <w:t>9</w:t>
      </w:r>
      <w:r w:rsidRPr="00716050">
        <w:rPr>
          <w:sz w:val="22"/>
          <w:szCs w:val="22"/>
        </w:rPr>
        <w:t xml:space="preserve"> </w:t>
      </w:r>
      <w:r>
        <w:rPr>
          <w:sz w:val="22"/>
          <w:szCs w:val="22"/>
        </w:rPr>
        <w:t xml:space="preserve">Míra </w:t>
      </w:r>
      <w:r w:rsidR="00AC6FE1">
        <w:rPr>
          <w:sz w:val="22"/>
          <w:szCs w:val="22"/>
        </w:rPr>
        <w:t>ne</w:t>
      </w:r>
      <w:r>
        <w:rPr>
          <w:sz w:val="22"/>
          <w:szCs w:val="22"/>
        </w:rPr>
        <w:t xml:space="preserve">zaměstnanosti podle dosaženého vzdělání </w:t>
      </w:r>
      <w:r w:rsidRPr="00A21945">
        <w:rPr>
          <w:sz w:val="22"/>
          <w:szCs w:val="22"/>
        </w:rPr>
        <w:t>v ČR, Polsku a EU (28)</w:t>
      </w:r>
      <w:r w:rsidR="00CB1B50">
        <w:rPr>
          <w:sz w:val="22"/>
          <w:szCs w:val="22"/>
        </w:rPr>
        <w:t>,</w:t>
      </w:r>
      <w:r w:rsidR="00CB1B50" w:rsidRPr="00CB1B50">
        <w:rPr>
          <w:sz w:val="22"/>
          <w:szCs w:val="22"/>
        </w:rPr>
        <w:t xml:space="preserve"> </w:t>
      </w:r>
      <w:r w:rsidR="00CB1B50">
        <w:rPr>
          <w:sz w:val="22"/>
          <w:szCs w:val="22"/>
        </w:rPr>
        <w:t xml:space="preserve">v procentuálním vyjádření, </w:t>
      </w:r>
      <w:r w:rsidRPr="00716050">
        <w:rPr>
          <w:bCs/>
          <w:sz w:val="22"/>
          <w:szCs w:val="22"/>
        </w:rPr>
        <w:t>v období 2008-2013</w:t>
      </w:r>
    </w:p>
    <w:p w14:paraId="45476800" w14:textId="77777777" w:rsidR="00C03DE1" w:rsidRDefault="0039477F" w:rsidP="00625F4B">
      <w:pPr>
        <w:spacing w:after="20"/>
        <w:rPr>
          <w:szCs w:val="24"/>
        </w:rPr>
      </w:pPr>
      <w:r>
        <w:rPr>
          <w:noProof/>
          <w:szCs w:val="24"/>
          <w:lang w:eastAsia="ja-JP"/>
        </w:rPr>
        <w:drawing>
          <wp:inline distT="0" distB="0" distL="0" distR="0" wp14:anchorId="7C037EC2" wp14:editId="2D22CD97">
            <wp:extent cx="5559742" cy="3972242"/>
            <wp:effectExtent l="0" t="0" r="28575"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43052C" w14:textId="77777777" w:rsidR="0039477F" w:rsidRDefault="0039477F" w:rsidP="0039477F">
      <w:pPr>
        <w:spacing w:after="20"/>
        <w:rPr>
          <w:sz w:val="22"/>
          <w:szCs w:val="22"/>
        </w:rPr>
      </w:pPr>
      <w:r w:rsidRPr="00716050">
        <w:rPr>
          <w:sz w:val="22"/>
          <w:szCs w:val="22"/>
        </w:rPr>
        <w:t xml:space="preserve">Zdroj: Eurostat, Unemployment </w:t>
      </w:r>
      <w:r w:rsidR="009D3CD5" w:rsidRPr="00716050">
        <w:rPr>
          <w:sz w:val="22"/>
          <w:szCs w:val="22"/>
        </w:rPr>
        <w:t>raste</w:t>
      </w:r>
      <w:r w:rsidRPr="00716050">
        <w:rPr>
          <w:sz w:val="22"/>
          <w:szCs w:val="22"/>
        </w:rPr>
        <w:t xml:space="preserve"> of the population aged 25-64 by level of education, (2014), vlastní úprava</w:t>
      </w:r>
    </w:p>
    <w:p w14:paraId="76E36D33" w14:textId="6BD92415" w:rsidR="00716050" w:rsidRPr="00716050" w:rsidRDefault="00716050" w:rsidP="00716050">
      <w:pPr>
        <w:spacing w:after="20"/>
        <w:rPr>
          <w:sz w:val="22"/>
          <w:szCs w:val="22"/>
        </w:rPr>
      </w:pPr>
      <w:r w:rsidRPr="00716050">
        <w:rPr>
          <w:sz w:val="22"/>
          <w:szCs w:val="22"/>
        </w:rPr>
        <w:t>Po</w:t>
      </w:r>
      <w:r>
        <w:rPr>
          <w:sz w:val="22"/>
          <w:szCs w:val="22"/>
        </w:rPr>
        <w:t>známka: Graf vychází z tabulky 11, 12 a 13</w:t>
      </w:r>
      <w:r w:rsidRPr="00716050">
        <w:rPr>
          <w:sz w:val="22"/>
          <w:szCs w:val="22"/>
        </w:rPr>
        <w:t xml:space="preserve"> v příloze</w:t>
      </w:r>
    </w:p>
    <w:p w14:paraId="735DF741" w14:textId="77777777" w:rsidR="00716050" w:rsidRPr="00716050" w:rsidRDefault="00716050" w:rsidP="0039477F">
      <w:pPr>
        <w:spacing w:after="20"/>
        <w:rPr>
          <w:sz w:val="22"/>
          <w:szCs w:val="22"/>
        </w:rPr>
      </w:pPr>
    </w:p>
    <w:p w14:paraId="6B2A2560" w14:textId="77777777" w:rsidR="00C03DE1" w:rsidRDefault="00C03DE1" w:rsidP="00625F4B">
      <w:pPr>
        <w:spacing w:after="20"/>
        <w:rPr>
          <w:szCs w:val="24"/>
        </w:rPr>
      </w:pPr>
    </w:p>
    <w:p w14:paraId="4AE8BD26" w14:textId="77777777" w:rsidR="00C03DE1" w:rsidRDefault="00C03DE1" w:rsidP="00625F4B">
      <w:pPr>
        <w:spacing w:after="20"/>
        <w:rPr>
          <w:szCs w:val="24"/>
        </w:rPr>
      </w:pPr>
      <w:r>
        <w:rPr>
          <w:szCs w:val="24"/>
        </w:rPr>
        <w:t xml:space="preserve">V tomto ukazateli se počítá s lidmi ve věku 25 až 64 let, oproti grafu </w:t>
      </w:r>
      <w:r w:rsidR="00E016AB">
        <w:rPr>
          <w:szCs w:val="24"/>
        </w:rPr>
        <w:t xml:space="preserve">č. </w:t>
      </w:r>
      <w:r>
        <w:rPr>
          <w:szCs w:val="24"/>
        </w:rPr>
        <w:t>4</w:t>
      </w:r>
      <w:r w:rsidR="00E016AB">
        <w:rPr>
          <w:szCs w:val="24"/>
        </w:rPr>
        <w:t xml:space="preserve"> </w:t>
      </w:r>
      <w:r>
        <w:rPr>
          <w:szCs w:val="24"/>
        </w:rPr>
        <w:t xml:space="preserve">- míra nezaměstnanosti, kde se míra nezaměstnanosti počítá již od věku 20 let, až 64 let. </w:t>
      </w:r>
      <w:r w:rsidR="0039477F">
        <w:rPr>
          <w:szCs w:val="24"/>
        </w:rPr>
        <w:t xml:space="preserve"> Z toho grafu je pat</w:t>
      </w:r>
      <w:r w:rsidR="00BE5DD2">
        <w:rPr>
          <w:szCs w:val="24"/>
        </w:rPr>
        <w:t>rné, že míra nezaměstnanosti v ČR</w:t>
      </w:r>
      <w:r w:rsidR="0039477F">
        <w:rPr>
          <w:szCs w:val="24"/>
        </w:rPr>
        <w:t>, u lidí se vzděláním 0-2, každým rokem stoupá</w:t>
      </w:r>
      <w:r w:rsidR="00BE5DD2">
        <w:rPr>
          <w:szCs w:val="24"/>
        </w:rPr>
        <w:t xml:space="preserve"> a je skoro 2 násobná, než u průměru EU (28)</w:t>
      </w:r>
      <w:r w:rsidR="0039477F">
        <w:rPr>
          <w:szCs w:val="24"/>
        </w:rPr>
        <w:t>. Naopak lidé se vzděláním 5-8, v České Republice mají velkou šanci pro získání pracovního místa</w:t>
      </w:r>
      <w:r w:rsidR="00E016AB">
        <w:rPr>
          <w:szCs w:val="24"/>
        </w:rPr>
        <w:t xml:space="preserve"> a tyto hodnoty se ukazují jako nejlepší v celém grafu</w:t>
      </w:r>
      <w:r w:rsidR="0039477F">
        <w:rPr>
          <w:szCs w:val="24"/>
        </w:rPr>
        <w:t xml:space="preserve">. Polsko </w:t>
      </w:r>
      <w:r w:rsidR="00BE5DD2">
        <w:rPr>
          <w:szCs w:val="24"/>
        </w:rPr>
        <w:t xml:space="preserve">je </w:t>
      </w:r>
      <w:r w:rsidR="0039477F">
        <w:rPr>
          <w:szCs w:val="24"/>
        </w:rPr>
        <w:t>s mírou zaměstnanosti podle dosaženého vzdělání</w:t>
      </w:r>
      <w:r w:rsidR="00BE5DD2">
        <w:rPr>
          <w:szCs w:val="24"/>
        </w:rPr>
        <w:t>, stejně jako ČR, nad obecným průměrem EU (28). V kategorii 3-4 dos</w:t>
      </w:r>
      <w:r w:rsidR="00E016AB">
        <w:rPr>
          <w:szCs w:val="24"/>
        </w:rPr>
        <w:t xml:space="preserve">aženého vzdělání si ČR stojí nadprůměrně </w:t>
      </w:r>
      <w:r w:rsidR="00BE5DD2">
        <w:rPr>
          <w:szCs w:val="24"/>
        </w:rPr>
        <w:t>průměrně</w:t>
      </w:r>
      <w:r w:rsidR="00E016AB">
        <w:rPr>
          <w:szCs w:val="24"/>
        </w:rPr>
        <w:t xml:space="preserve"> oproti srovnávaným státům</w:t>
      </w:r>
      <w:r w:rsidR="00BE5DD2">
        <w:rPr>
          <w:szCs w:val="24"/>
        </w:rPr>
        <w:t>, což je dobře a Polsko naopak přesahuje průměr EU (28). U posledního ukazatele 5-8 můžeme vidět, že si ČR stojí nejlépe a až kousek nad těmito hodnotami se pohybuje Polsko, které je stejně jako ČR pod průměrným ukazatelem EU (28)</w:t>
      </w:r>
    </w:p>
    <w:p w14:paraId="5DAD3C96" w14:textId="77777777" w:rsidR="00C03DE1" w:rsidRDefault="00331616" w:rsidP="00625F4B">
      <w:pPr>
        <w:spacing w:after="20"/>
        <w:rPr>
          <w:szCs w:val="24"/>
        </w:rPr>
      </w:pPr>
      <w:r>
        <w:rPr>
          <w:szCs w:val="24"/>
        </w:rPr>
        <w:t>V</w:t>
      </w:r>
      <w:r w:rsidR="00E016AB">
        <w:rPr>
          <w:szCs w:val="24"/>
        </w:rPr>
        <w:t>e</w:t>
      </w:r>
      <w:r>
        <w:rPr>
          <w:szCs w:val="24"/>
        </w:rPr>
        <w:t> výsledku je po</w:t>
      </w:r>
      <w:r w:rsidR="00E016AB">
        <w:rPr>
          <w:szCs w:val="24"/>
        </w:rPr>
        <w:t>tvrzeno, že obě sledované země, ČR i Polsko,</w:t>
      </w:r>
      <w:r>
        <w:rPr>
          <w:szCs w:val="24"/>
        </w:rPr>
        <w:t xml:space="preserve"> shodně vykazují závislost mezi výší dosaženého vzdělání a mírou nezaměstnanosti a platí, že čím je dosažené vzdělání vyšší, tím je míra nezaměstnanosti nižší. Do dalších ukazatelů, které mají vliv na míru nezaměstnanosti patří také produktivita práce za odpracovanou hodinu. V ČR je možné říci, že produktivita práce na jednu odpracovanou hodinu stoupá, u Polska situace spíše stagnuje a mírně klesá.</w:t>
      </w:r>
    </w:p>
    <w:p w14:paraId="582A8C75" w14:textId="77777777" w:rsidR="000C054F" w:rsidRDefault="000C054F" w:rsidP="00625F4B">
      <w:pPr>
        <w:spacing w:after="20"/>
        <w:rPr>
          <w:szCs w:val="24"/>
        </w:rPr>
      </w:pPr>
    </w:p>
    <w:p w14:paraId="735B42D6" w14:textId="77777777" w:rsidR="000C054F" w:rsidRDefault="000C054F" w:rsidP="00625F4B">
      <w:pPr>
        <w:spacing w:after="20"/>
        <w:rPr>
          <w:szCs w:val="24"/>
        </w:rPr>
      </w:pPr>
    </w:p>
    <w:p w14:paraId="59FA21E7" w14:textId="77777777" w:rsidR="005C33DE" w:rsidRDefault="005C33DE" w:rsidP="00625F4B">
      <w:pPr>
        <w:spacing w:after="20"/>
        <w:rPr>
          <w:szCs w:val="24"/>
        </w:rPr>
      </w:pPr>
    </w:p>
    <w:p w14:paraId="0D4FF66D" w14:textId="77777777" w:rsidR="00E81D09" w:rsidRPr="001168AF" w:rsidRDefault="00E81D09" w:rsidP="00E81D09">
      <w:pPr>
        <w:spacing w:after="20"/>
        <w:rPr>
          <w:b/>
          <w:szCs w:val="24"/>
          <w:u w:val="single"/>
        </w:rPr>
      </w:pPr>
      <w:r w:rsidRPr="001168AF">
        <w:rPr>
          <w:b/>
          <w:szCs w:val="24"/>
          <w:u w:val="single"/>
        </w:rPr>
        <w:t>Míra zaměstnanosti starších pracovníků</w:t>
      </w:r>
    </w:p>
    <w:p w14:paraId="6BF38BD5" w14:textId="204EB2A4" w:rsidR="00E016AB" w:rsidRDefault="00E81D09" w:rsidP="00625F4B">
      <w:pPr>
        <w:spacing w:after="20"/>
        <w:rPr>
          <w:szCs w:val="24"/>
        </w:rPr>
      </w:pPr>
      <w:r w:rsidRPr="001168AF">
        <w:rPr>
          <w:szCs w:val="24"/>
        </w:rPr>
        <w:t>Portál Eurostat</w:t>
      </w:r>
      <w:r>
        <w:rPr>
          <w:szCs w:val="24"/>
        </w:rPr>
        <w:t xml:space="preserve"> (Eurostat, 2014) ve své zprávě zveř</w:t>
      </w:r>
      <w:r w:rsidRPr="001168AF">
        <w:rPr>
          <w:szCs w:val="24"/>
        </w:rPr>
        <w:t>ejnil d</w:t>
      </w:r>
      <w:r>
        <w:rPr>
          <w:szCs w:val="24"/>
        </w:rPr>
        <w:t>ata, která říkají, že se míra zaměstnanosti osob ve věku 60 – 6</w:t>
      </w:r>
      <w:r w:rsidRPr="001168AF">
        <w:rPr>
          <w:szCs w:val="24"/>
        </w:rPr>
        <w:t xml:space="preserve">4 let </w:t>
      </w:r>
      <w:r>
        <w:rPr>
          <w:szCs w:val="24"/>
        </w:rPr>
        <w:t xml:space="preserve">v roce 2010 zvýšila z původních </w:t>
      </w:r>
      <w:r w:rsidRPr="001168AF">
        <w:rPr>
          <w:szCs w:val="24"/>
        </w:rPr>
        <w:t xml:space="preserve">23% (rok 1990) </w:t>
      </w:r>
      <w:r>
        <w:rPr>
          <w:szCs w:val="24"/>
        </w:rPr>
        <w:t>na 30%. Př</w:t>
      </w:r>
      <w:r w:rsidRPr="001168AF">
        <w:rPr>
          <w:szCs w:val="24"/>
        </w:rPr>
        <w:t>e</w:t>
      </w:r>
      <w:r>
        <w:rPr>
          <w:szCs w:val="24"/>
        </w:rPr>
        <w:t>dpokládají, že v roce 2060 se č</w:t>
      </w:r>
      <w:r w:rsidRPr="001168AF">
        <w:rPr>
          <w:szCs w:val="24"/>
        </w:rPr>
        <w:t>ísla dostanou na hodnotu</w:t>
      </w:r>
      <w:r>
        <w:rPr>
          <w:szCs w:val="24"/>
        </w:rPr>
        <w:t xml:space="preserve"> 40%. Dále uvádí, že podíl zaměstnaných osob ve vě</w:t>
      </w:r>
      <w:r w:rsidRPr="001168AF">
        <w:rPr>
          <w:szCs w:val="24"/>
        </w:rPr>
        <w:t xml:space="preserve">ku 55 - 64 let vzrostl v letech 1990 - 2010 ve </w:t>
      </w:r>
      <w:r>
        <w:rPr>
          <w:szCs w:val="24"/>
        </w:rPr>
        <w:t>všech členských státech. Největší podíl však v roce 2010 mě</w:t>
      </w:r>
      <w:r w:rsidRPr="001168AF">
        <w:rPr>
          <w:szCs w:val="24"/>
        </w:rPr>
        <w:t>lo</w:t>
      </w:r>
      <w:r>
        <w:rPr>
          <w:szCs w:val="24"/>
        </w:rPr>
        <w:t xml:space="preserve"> Finsko, které dosáhlo 14,7%. Č</w:t>
      </w:r>
      <w:r w:rsidRPr="001168AF">
        <w:rPr>
          <w:szCs w:val="24"/>
        </w:rPr>
        <w:t>eská republ</w:t>
      </w:r>
      <w:r>
        <w:rPr>
          <w:szCs w:val="24"/>
        </w:rPr>
        <w:t xml:space="preserve">ika se umístila na druhém místě s 14,1%. </w:t>
      </w:r>
    </w:p>
    <w:p w14:paraId="79486050" w14:textId="77777777" w:rsidR="00E016AB" w:rsidRDefault="00E016AB" w:rsidP="00625F4B">
      <w:pPr>
        <w:spacing w:after="20"/>
        <w:rPr>
          <w:szCs w:val="24"/>
        </w:rPr>
      </w:pPr>
    </w:p>
    <w:p w14:paraId="68A3D9AB" w14:textId="3EF5EB8A" w:rsidR="00867BF3" w:rsidRPr="00716050" w:rsidRDefault="00030B57" w:rsidP="00625F4B">
      <w:pPr>
        <w:spacing w:after="20"/>
        <w:rPr>
          <w:bCs/>
          <w:sz w:val="22"/>
          <w:szCs w:val="22"/>
        </w:rPr>
      </w:pPr>
      <w:r>
        <w:rPr>
          <w:rStyle w:val="Siln"/>
          <w:sz w:val="22"/>
          <w:szCs w:val="22"/>
        </w:rPr>
        <w:t>Graf 10</w:t>
      </w:r>
      <w:r w:rsidR="00867BF3" w:rsidRPr="00716050">
        <w:rPr>
          <w:rStyle w:val="Siln"/>
          <w:sz w:val="22"/>
          <w:szCs w:val="22"/>
        </w:rPr>
        <w:t xml:space="preserve"> </w:t>
      </w:r>
      <w:r w:rsidR="00867BF3" w:rsidRPr="00716050">
        <w:rPr>
          <w:bCs/>
          <w:sz w:val="22"/>
          <w:szCs w:val="22"/>
        </w:rPr>
        <w:t>Míra zaměstnanosti starších pracovníků</w:t>
      </w:r>
      <w:r w:rsidR="00402E4D" w:rsidRPr="00716050">
        <w:rPr>
          <w:bCs/>
          <w:sz w:val="22"/>
          <w:szCs w:val="22"/>
        </w:rPr>
        <w:t xml:space="preserve"> (55-64let)</w:t>
      </w:r>
      <w:r w:rsidR="00867BF3" w:rsidRPr="00716050">
        <w:rPr>
          <w:bCs/>
          <w:sz w:val="22"/>
          <w:szCs w:val="22"/>
        </w:rPr>
        <w:t xml:space="preserve"> podle pohlaví v ČR, Polsku a EU (28)</w:t>
      </w:r>
      <w:r w:rsidR="00142AE9">
        <w:rPr>
          <w:bCs/>
          <w:sz w:val="22"/>
          <w:szCs w:val="22"/>
        </w:rPr>
        <w:t>,</w:t>
      </w:r>
      <w:r w:rsidR="00142AE9" w:rsidRPr="00142AE9">
        <w:rPr>
          <w:sz w:val="22"/>
          <w:szCs w:val="22"/>
        </w:rPr>
        <w:t xml:space="preserve"> </w:t>
      </w:r>
      <w:r w:rsidR="00142AE9">
        <w:rPr>
          <w:sz w:val="22"/>
          <w:szCs w:val="22"/>
        </w:rPr>
        <w:t xml:space="preserve">v procentuálním vyjádření, </w:t>
      </w:r>
      <w:r w:rsidR="00D24DB6" w:rsidRPr="00716050">
        <w:rPr>
          <w:rStyle w:val="Siln"/>
          <w:b w:val="0"/>
          <w:sz w:val="22"/>
          <w:szCs w:val="22"/>
        </w:rPr>
        <w:t>v období 2008-2013</w:t>
      </w:r>
    </w:p>
    <w:p w14:paraId="70E251A8" w14:textId="77777777" w:rsidR="00867BF3" w:rsidRPr="00867BF3" w:rsidRDefault="00402E4D" w:rsidP="00625F4B">
      <w:pPr>
        <w:spacing w:after="20"/>
        <w:rPr>
          <w:bCs/>
          <w:szCs w:val="24"/>
        </w:rPr>
      </w:pPr>
      <w:r>
        <w:rPr>
          <w:noProof/>
          <w:lang w:eastAsia="ja-JP"/>
        </w:rPr>
        <w:drawing>
          <wp:inline distT="0" distB="0" distL="0" distR="0" wp14:anchorId="2B35F019" wp14:editId="4F48CB8B">
            <wp:extent cx="5407660" cy="3560152"/>
            <wp:effectExtent l="0" t="0" r="27940" b="2159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638062" w14:textId="77777777" w:rsidR="00402E4D" w:rsidRPr="00EB1F47" w:rsidRDefault="00402E4D" w:rsidP="00625F4B">
      <w:pPr>
        <w:spacing w:after="20"/>
        <w:jc w:val="left"/>
        <w:rPr>
          <w:bCs/>
          <w:sz w:val="22"/>
          <w:szCs w:val="22"/>
        </w:rPr>
      </w:pPr>
      <w:r w:rsidRPr="00EB1F47">
        <w:rPr>
          <w:sz w:val="22"/>
          <w:szCs w:val="22"/>
        </w:rPr>
        <w:t xml:space="preserve">Zdroj: Eurostat, </w:t>
      </w:r>
      <w:r w:rsidR="004C7785" w:rsidRPr="004C7785">
        <w:rPr>
          <w:bCs/>
          <w:sz w:val="22"/>
          <w:szCs w:val="22"/>
        </w:rPr>
        <w:t xml:space="preserve">Employment rate of older workers by gender </w:t>
      </w:r>
      <w:r w:rsidR="007B3DE0" w:rsidRPr="00EB1F47">
        <w:rPr>
          <w:bCs/>
          <w:sz w:val="22"/>
          <w:szCs w:val="22"/>
        </w:rPr>
        <w:t>(2014),</w:t>
      </w:r>
      <w:r w:rsidRPr="00EB1F47">
        <w:rPr>
          <w:bCs/>
          <w:sz w:val="22"/>
          <w:szCs w:val="22"/>
        </w:rPr>
        <w:t xml:space="preserve"> </w:t>
      </w:r>
      <w:r w:rsidR="007B3DE0" w:rsidRPr="00EB1F47">
        <w:rPr>
          <w:bCs/>
          <w:sz w:val="22"/>
          <w:szCs w:val="22"/>
        </w:rPr>
        <w:t>v</w:t>
      </w:r>
      <w:r w:rsidRPr="00EB1F47">
        <w:rPr>
          <w:bCs/>
          <w:sz w:val="22"/>
          <w:szCs w:val="22"/>
        </w:rPr>
        <w:t>lastní</w:t>
      </w:r>
      <w:r w:rsidR="007B3DE0" w:rsidRPr="00EB1F47">
        <w:rPr>
          <w:bCs/>
          <w:sz w:val="22"/>
          <w:szCs w:val="22"/>
        </w:rPr>
        <w:t xml:space="preserve"> úprava</w:t>
      </w:r>
    </w:p>
    <w:p w14:paraId="45410E3C" w14:textId="6789112F" w:rsidR="00402E4D" w:rsidRPr="00EB1F47" w:rsidRDefault="00402E4D" w:rsidP="00625F4B">
      <w:pPr>
        <w:spacing w:after="20"/>
        <w:jc w:val="left"/>
        <w:rPr>
          <w:bCs/>
          <w:sz w:val="22"/>
          <w:szCs w:val="22"/>
        </w:rPr>
      </w:pPr>
      <w:r w:rsidRPr="00EB1F47">
        <w:rPr>
          <w:bCs/>
          <w:sz w:val="22"/>
          <w:szCs w:val="22"/>
        </w:rPr>
        <w:t>Po</w:t>
      </w:r>
      <w:r w:rsidR="00C03DE1">
        <w:rPr>
          <w:bCs/>
          <w:sz w:val="22"/>
          <w:szCs w:val="22"/>
        </w:rPr>
        <w:t>z</w:t>
      </w:r>
      <w:r w:rsidR="00716050">
        <w:rPr>
          <w:bCs/>
          <w:sz w:val="22"/>
          <w:szCs w:val="22"/>
        </w:rPr>
        <w:t>námka: graf vychází z tabulky 14 a 15</w:t>
      </w:r>
      <w:r w:rsidR="007B3DE0" w:rsidRPr="00EB1F47">
        <w:rPr>
          <w:bCs/>
          <w:sz w:val="22"/>
          <w:szCs w:val="22"/>
        </w:rPr>
        <w:t>,</w:t>
      </w:r>
      <w:r w:rsidRPr="00EB1F47">
        <w:rPr>
          <w:bCs/>
          <w:sz w:val="22"/>
          <w:szCs w:val="22"/>
        </w:rPr>
        <w:t xml:space="preserve"> v</w:t>
      </w:r>
      <w:r w:rsidR="00495729" w:rsidRPr="00EB1F47">
        <w:rPr>
          <w:bCs/>
          <w:sz w:val="22"/>
          <w:szCs w:val="22"/>
        </w:rPr>
        <w:t> </w:t>
      </w:r>
      <w:r w:rsidRPr="00EB1F47">
        <w:rPr>
          <w:bCs/>
          <w:sz w:val="22"/>
          <w:szCs w:val="22"/>
        </w:rPr>
        <w:t>příloze</w:t>
      </w:r>
    </w:p>
    <w:p w14:paraId="6BCBFD72" w14:textId="77777777" w:rsidR="00495729" w:rsidRDefault="00495729" w:rsidP="00625F4B">
      <w:pPr>
        <w:spacing w:after="20"/>
        <w:jc w:val="left"/>
        <w:rPr>
          <w:bCs/>
          <w:szCs w:val="24"/>
        </w:rPr>
      </w:pPr>
    </w:p>
    <w:p w14:paraId="493DD875" w14:textId="0895BE55" w:rsidR="00E81D09" w:rsidRDefault="00402E4D" w:rsidP="000C054F">
      <w:pPr>
        <w:spacing w:after="20"/>
        <w:rPr>
          <w:bCs/>
          <w:szCs w:val="24"/>
        </w:rPr>
      </w:pPr>
      <w:r>
        <w:rPr>
          <w:bCs/>
          <w:szCs w:val="24"/>
        </w:rPr>
        <w:t xml:space="preserve">Na tomto grafu </w:t>
      </w:r>
      <w:r w:rsidR="002F2F8B">
        <w:rPr>
          <w:bCs/>
          <w:szCs w:val="24"/>
        </w:rPr>
        <w:t>je možné vidět, že míra zaměstnanosti polských žen, je velm</w:t>
      </w:r>
      <w:r w:rsidR="00E016AB">
        <w:rPr>
          <w:bCs/>
          <w:szCs w:val="24"/>
        </w:rPr>
        <w:t xml:space="preserve">i </w:t>
      </w:r>
      <w:r w:rsidR="00091707">
        <w:rPr>
          <w:bCs/>
          <w:szCs w:val="24"/>
        </w:rPr>
        <w:t>nízká a na tomto grafu nejnižší z porovnávaných</w:t>
      </w:r>
      <w:r w:rsidR="00E016AB">
        <w:rPr>
          <w:bCs/>
          <w:szCs w:val="24"/>
        </w:rPr>
        <w:t>. Opět zde obecně mají vyš</w:t>
      </w:r>
      <w:r w:rsidR="002F2F8B">
        <w:rPr>
          <w:bCs/>
          <w:szCs w:val="24"/>
        </w:rPr>
        <w:t>ší míru zaměstnanosti muži než ženy. České ženy se drží kousek od průměru EU</w:t>
      </w:r>
      <w:r w:rsidR="00091707">
        <w:rPr>
          <w:bCs/>
          <w:szCs w:val="24"/>
        </w:rPr>
        <w:t>, i přes to</w:t>
      </w:r>
      <w:r w:rsidR="002F2F8B">
        <w:rPr>
          <w:bCs/>
          <w:szCs w:val="24"/>
        </w:rPr>
        <w:t xml:space="preserve"> jsou hluboce pod českými muži. </w:t>
      </w:r>
      <w:r w:rsidR="00091707">
        <w:rPr>
          <w:bCs/>
          <w:szCs w:val="24"/>
        </w:rPr>
        <w:t xml:space="preserve">Polsko se v tomto výsledku propadlo opět na nejnižší ukazatele z porovnávaných států a je v ukazatelích u mužů a žen pod výsledky ČR. </w:t>
      </w:r>
      <w:r w:rsidR="002F2F8B">
        <w:rPr>
          <w:bCs/>
          <w:szCs w:val="24"/>
        </w:rPr>
        <w:t>Pozitivní na tomto grafu je trvale mírné zvyšování míry zaměstnanosti u všech ukazatelů.</w:t>
      </w:r>
    </w:p>
    <w:p w14:paraId="0F1FFFE2" w14:textId="77777777" w:rsidR="000C054F" w:rsidRDefault="000C054F" w:rsidP="000C054F">
      <w:pPr>
        <w:spacing w:after="20"/>
        <w:rPr>
          <w:bCs/>
          <w:szCs w:val="24"/>
        </w:rPr>
      </w:pPr>
    </w:p>
    <w:p w14:paraId="59A8498E" w14:textId="77777777" w:rsidR="000C054F" w:rsidRDefault="000C054F" w:rsidP="000C054F">
      <w:pPr>
        <w:spacing w:after="20"/>
        <w:rPr>
          <w:bCs/>
          <w:szCs w:val="24"/>
        </w:rPr>
      </w:pPr>
    </w:p>
    <w:p w14:paraId="281ABF3A" w14:textId="77777777" w:rsidR="000C054F" w:rsidRDefault="000C054F" w:rsidP="000C054F">
      <w:pPr>
        <w:spacing w:after="20"/>
        <w:rPr>
          <w:bCs/>
          <w:szCs w:val="24"/>
        </w:rPr>
      </w:pPr>
    </w:p>
    <w:p w14:paraId="2526EA77" w14:textId="77777777" w:rsidR="000C054F" w:rsidRDefault="000C054F" w:rsidP="000C054F">
      <w:pPr>
        <w:spacing w:after="20"/>
        <w:rPr>
          <w:bCs/>
          <w:szCs w:val="24"/>
        </w:rPr>
      </w:pPr>
    </w:p>
    <w:p w14:paraId="60FD9B44" w14:textId="77777777" w:rsidR="000C054F" w:rsidRDefault="000C054F" w:rsidP="000C054F">
      <w:pPr>
        <w:spacing w:after="20"/>
        <w:rPr>
          <w:bCs/>
          <w:szCs w:val="24"/>
        </w:rPr>
      </w:pPr>
    </w:p>
    <w:p w14:paraId="7C3A56D7" w14:textId="77777777" w:rsidR="000C054F" w:rsidRDefault="000C054F" w:rsidP="000C054F">
      <w:pPr>
        <w:spacing w:after="20"/>
        <w:rPr>
          <w:bCs/>
          <w:szCs w:val="24"/>
        </w:rPr>
      </w:pPr>
    </w:p>
    <w:p w14:paraId="65227FD2" w14:textId="77777777" w:rsidR="000C054F" w:rsidRDefault="000C054F" w:rsidP="000C054F">
      <w:pPr>
        <w:spacing w:after="20"/>
        <w:rPr>
          <w:bCs/>
          <w:szCs w:val="24"/>
        </w:rPr>
      </w:pPr>
    </w:p>
    <w:p w14:paraId="778E9618" w14:textId="77777777" w:rsidR="000C054F" w:rsidRDefault="000C054F" w:rsidP="000C054F">
      <w:pPr>
        <w:spacing w:after="20"/>
        <w:rPr>
          <w:bCs/>
          <w:szCs w:val="24"/>
        </w:rPr>
      </w:pPr>
    </w:p>
    <w:p w14:paraId="34210BC2" w14:textId="77777777" w:rsidR="000C054F" w:rsidRDefault="000C054F" w:rsidP="000C054F">
      <w:pPr>
        <w:spacing w:after="20"/>
        <w:rPr>
          <w:bCs/>
          <w:szCs w:val="24"/>
        </w:rPr>
      </w:pPr>
    </w:p>
    <w:p w14:paraId="73B373CE" w14:textId="77777777" w:rsidR="000C054F" w:rsidRDefault="000C054F" w:rsidP="000C054F">
      <w:pPr>
        <w:spacing w:after="20"/>
        <w:rPr>
          <w:bCs/>
          <w:szCs w:val="24"/>
        </w:rPr>
      </w:pPr>
    </w:p>
    <w:p w14:paraId="363EC4FF" w14:textId="355B7DCE" w:rsidR="00CC441C" w:rsidRPr="00716050" w:rsidRDefault="00030B57" w:rsidP="00625F4B">
      <w:pPr>
        <w:spacing w:after="20"/>
        <w:rPr>
          <w:rStyle w:val="Siln"/>
          <w:bCs w:val="0"/>
          <w:sz w:val="22"/>
          <w:szCs w:val="22"/>
        </w:rPr>
      </w:pPr>
      <w:r>
        <w:rPr>
          <w:rStyle w:val="Siln"/>
          <w:bCs w:val="0"/>
          <w:sz w:val="22"/>
          <w:szCs w:val="22"/>
        </w:rPr>
        <w:t xml:space="preserve">Graf 11 </w:t>
      </w:r>
      <w:r w:rsidR="00CC441C" w:rsidRPr="00716050">
        <w:rPr>
          <w:rStyle w:val="Siln"/>
          <w:b w:val="0"/>
          <w:bCs w:val="0"/>
          <w:sz w:val="22"/>
          <w:szCs w:val="22"/>
        </w:rPr>
        <w:t>Produktivita práce v ČR, Polsku a EU (28),</w:t>
      </w:r>
      <w:r w:rsidR="00142AE9" w:rsidRPr="00142AE9">
        <w:t xml:space="preserve"> </w:t>
      </w:r>
      <w:r w:rsidR="00142AE9" w:rsidRPr="00142AE9">
        <w:rPr>
          <w:rStyle w:val="Siln"/>
          <w:b w:val="0"/>
          <w:bCs w:val="0"/>
          <w:sz w:val="22"/>
          <w:szCs w:val="22"/>
        </w:rPr>
        <w:t>vyjádřených ve vztahu k průměru Evropské unie</w:t>
      </w:r>
      <w:r w:rsidR="00142AE9">
        <w:rPr>
          <w:rStyle w:val="Siln"/>
          <w:b w:val="0"/>
          <w:bCs w:val="0"/>
          <w:sz w:val="22"/>
          <w:szCs w:val="22"/>
        </w:rPr>
        <w:t>,</w:t>
      </w:r>
      <w:r w:rsidR="00CC441C" w:rsidRPr="00716050">
        <w:rPr>
          <w:rStyle w:val="Siln"/>
          <w:b w:val="0"/>
          <w:bCs w:val="0"/>
          <w:sz w:val="22"/>
          <w:szCs w:val="22"/>
        </w:rPr>
        <w:t xml:space="preserve"> v období 2008-2013</w:t>
      </w:r>
    </w:p>
    <w:p w14:paraId="21182C5A" w14:textId="77777777" w:rsidR="00A94F9D" w:rsidRDefault="00CC441C" w:rsidP="00625F4B">
      <w:pPr>
        <w:spacing w:after="20"/>
        <w:jc w:val="left"/>
        <w:rPr>
          <w:bCs/>
          <w:szCs w:val="24"/>
        </w:rPr>
      </w:pPr>
      <w:r>
        <w:rPr>
          <w:noProof/>
          <w:lang w:eastAsia="ja-JP"/>
        </w:rPr>
        <w:drawing>
          <wp:inline distT="0" distB="0" distL="0" distR="0" wp14:anchorId="36B572E1" wp14:editId="6A050457">
            <wp:extent cx="5331142" cy="2743200"/>
            <wp:effectExtent l="0" t="0" r="28575"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6A4EA4" w14:textId="77777777" w:rsidR="00CC441C" w:rsidRPr="00EB1F47" w:rsidRDefault="00CC441C" w:rsidP="00625F4B">
      <w:pPr>
        <w:spacing w:after="20"/>
        <w:jc w:val="left"/>
        <w:rPr>
          <w:bCs/>
          <w:sz w:val="22"/>
          <w:szCs w:val="22"/>
        </w:rPr>
      </w:pPr>
      <w:r w:rsidRPr="00EB1F47">
        <w:rPr>
          <w:bCs/>
          <w:sz w:val="22"/>
          <w:szCs w:val="22"/>
        </w:rPr>
        <w:t xml:space="preserve">Zdroj: Eurostat, </w:t>
      </w:r>
      <w:r w:rsidR="004C7785" w:rsidRPr="004C7785">
        <w:rPr>
          <w:bCs/>
          <w:sz w:val="22"/>
          <w:szCs w:val="22"/>
        </w:rPr>
        <w:t xml:space="preserve">Labour productivity per hour worked </w:t>
      </w:r>
      <w:r w:rsidRPr="00EB1F47">
        <w:rPr>
          <w:bCs/>
          <w:sz w:val="22"/>
          <w:szCs w:val="22"/>
        </w:rPr>
        <w:t>(2014), vlastní úprava</w:t>
      </w:r>
    </w:p>
    <w:p w14:paraId="0457AA2C" w14:textId="1486407B" w:rsidR="00CC441C" w:rsidRPr="00EB1F47" w:rsidRDefault="00CC441C" w:rsidP="00625F4B">
      <w:pPr>
        <w:spacing w:after="20"/>
        <w:jc w:val="left"/>
        <w:rPr>
          <w:bCs/>
          <w:sz w:val="22"/>
          <w:szCs w:val="22"/>
        </w:rPr>
      </w:pPr>
      <w:r w:rsidRPr="00EB1F47">
        <w:rPr>
          <w:bCs/>
          <w:sz w:val="22"/>
          <w:szCs w:val="22"/>
        </w:rPr>
        <w:t>Poz</w:t>
      </w:r>
      <w:r w:rsidR="00716050">
        <w:rPr>
          <w:bCs/>
          <w:sz w:val="22"/>
          <w:szCs w:val="22"/>
        </w:rPr>
        <w:t>námka: Graf vychází z tabulky 16</w:t>
      </w:r>
      <w:r w:rsidRPr="00EB1F47">
        <w:rPr>
          <w:bCs/>
          <w:sz w:val="22"/>
          <w:szCs w:val="22"/>
        </w:rPr>
        <w:t xml:space="preserve"> v příloze</w:t>
      </w:r>
    </w:p>
    <w:p w14:paraId="3227FD20" w14:textId="77777777" w:rsidR="00CC441C" w:rsidRDefault="00CC441C" w:rsidP="00625F4B">
      <w:pPr>
        <w:spacing w:after="20"/>
        <w:jc w:val="left"/>
        <w:rPr>
          <w:bCs/>
          <w:szCs w:val="24"/>
        </w:rPr>
      </w:pPr>
    </w:p>
    <w:p w14:paraId="432695BB" w14:textId="77777777" w:rsidR="00CC441C" w:rsidRDefault="00CC441C" w:rsidP="00D12EBE">
      <w:pPr>
        <w:spacing w:after="20"/>
        <w:rPr>
          <w:bCs/>
          <w:szCs w:val="24"/>
        </w:rPr>
      </w:pPr>
      <w:r w:rsidRPr="00CC441C">
        <w:rPr>
          <w:bCs/>
          <w:szCs w:val="24"/>
        </w:rPr>
        <w:t>Graf produktivity práce na jednu odpracovanou hodinu je</w:t>
      </w:r>
      <w:r w:rsidR="005053DA">
        <w:rPr>
          <w:bCs/>
          <w:szCs w:val="24"/>
        </w:rPr>
        <w:t xml:space="preserve"> </w:t>
      </w:r>
      <w:r w:rsidR="00C650B8">
        <w:rPr>
          <w:bCs/>
          <w:szCs w:val="24"/>
        </w:rPr>
        <w:t>uvádě</w:t>
      </w:r>
      <w:r w:rsidRPr="00CC441C">
        <w:rPr>
          <w:bCs/>
          <w:szCs w:val="24"/>
        </w:rPr>
        <w:t>n</w:t>
      </w:r>
      <w:r w:rsidR="005053DA">
        <w:rPr>
          <w:bCs/>
          <w:szCs w:val="24"/>
        </w:rPr>
        <w:t>,</w:t>
      </w:r>
      <w:r w:rsidR="00C650B8">
        <w:rPr>
          <w:bCs/>
          <w:szCs w:val="24"/>
        </w:rPr>
        <w:t xml:space="preserve"> v indexovém vyjádř</w:t>
      </w:r>
      <w:r w:rsidRPr="00CC441C">
        <w:rPr>
          <w:bCs/>
          <w:szCs w:val="24"/>
        </w:rPr>
        <w:t>ení,</w:t>
      </w:r>
      <w:r w:rsidR="00091707">
        <w:rPr>
          <w:bCs/>
          <w:szCs w:val="24"/>
        </w:rPr>
        <w:t xml:space="preserve"> kdy stanovená hodnota pro EU (28)</w:t>
      </w:r>
      <w:r w:rsidRPr="00CC441C">
        <w:rPr>
          <w:bCs/>
          <w:szCs w:val="24"/>
        </w:rPr>
        <w:t xml:space="preserve"> je 100 jednotek. </w:t>
      </w:r>
      <w:r>
        <w:rPr>
          <w:bCs/>
          <w:szCs w:val="24"/>
        </w:rPr>
        <w:t>Česká republika se zde pohybu</w:t>
      </w:r>
      <w:r w:rsidR="00CC11A4">
        <w:rPr>
          <w:bCs/>
          <w:szCs w:val="24"/>
        </w:rPr>
        <w:t>je v rozmezí 66,6-70,1 jednotek a hodnoty ji každým rokem klesají, v roce 2013 je na nejnižší hodnotě</w:t>
      </w:r>
      <w:r>
        <w:rPr>
          <w:bCs/>
          <w:szCs w:val="24"/>
        </w:rPr>
        <w:t xml:space="preserve"> </w:t>
      </w:r>
      <w:r w:rsidR="00CC11A4">
        <w:rPr>
          <w:bCs/>
          <w:szCs w:val="24"/>
        </w:rPr>
        <w:t>66,6.</w:t>
      </w:r>
      <w:r>
        <w:rPr>
          <w:bCs/>
          <w:szCs w:val="24"/>
        </w:rPr>
        <w:t>Polsko</w:t>
      </w:r>
      <w:r w:rsidR="00CC11A4">
        <w:rPr>
          <w:bCs/>
          <w:szCs w:val="24"/>
        </w:rPr>
        <w:t xml:space="preserve"> naopak</w:t>
      </w:r>
      <w:r>
        <w:rPr>
          <w:bCs/>
          <w:szCs w:val="24"/>
        </w:rPr>
        <w:t xml:space="preserve"> po celou dobu mírně stoupá a to z 50,1 na 59,9 jednotek.</w:t>
      </w:r>
      <w:r w:rsidR="00CC11A4">
        <w:rPr>
          <w:bCs/>
          <w:szCs w:val="24"/>
        </w:rPr>
        <w:t xml:space="preserve"> Největší rozestup mezi sledovanými zeměmi byl na začátku sledovaného období, v roce 2008. Konkrétně 18,3 jednotek. Naopak nejmenší rozdíl je v roce 2013,</w:t>
      </w:r>
      <w:r w:rsidR="00091707">
        <w:rPr>
          <w:bCs/>
          <w:szCs w:val="24"/>
        </w:rPr>
        <w:t xml:space="preserve"> a to</w:t>
      </w:r>
      <w:r w:rsidR="00CC11A4">
        <w:rPr>
          <w:bCs/>
          <w:szCs w:val="24"/>
        </w:rPr>
        <w:t xml:space="preserve"> 6,7.</w:t>
      </w:r>
    </w:p>
    <w:p w14:paraId="3A4B105C" w14:textId="77777777" w:rsidR="00A039F8" w:rsidRPr="00CC441C" w:rsidRDefault="00A039F8" w:rsidP="00625F4B">
      <w:pPr>
        <w:spacing w:after="20"/>
        <w:jc w:val="left"/>
        <w:rPr>
          <w:bCs/>
          <w:szCs w:val="24"/>
        </w:rPr>
      </w:pPr>
    </w:p>
    <w:p w14:paraId="6CBF62B3" w14:textId="7E1BB674" w:rsidR="00CC441C" w:rsidRPr="00716050" w:rsidRDefault="00A039F8" w:rsidP="00625F4B">
      <w:pPr>
        <w:spacing w:after="20"/>
        <w:jc w:val="left"/>
        <w:rPr>
          <w:bCs/>
          <w:sz w:val="22"/>
          <w:szCs w:val="22"/>
        </w:rPr>
      </w:pPr>
      <w:r w:rsidRPr="00716050">
        <w:rPr>
          <w:b/>
          <w:bCs/>
          <w:sz w:val="22"/>
          <w:szCs w:val="22"/>
        </w:rPr>
        <w:t>Graf 1</w:t>
      </w:r>
      <w:r w:rsidR="00030B57">
        <w:rPr>
          <w:b/>
          <w:bCs/>
          <w:sz w:val="22"/>
          <w:szCs w:val="22"/>
        </w:rPr>
        <w:t>2</w:t>
      </w:r>
      <w:r w:rsidRPr="00716050">
        <w:rPr>
          <w:bCs/>
          <w:sz w:val="22"/>
          <w:szCs w:val="22"/>
        </w:rPr>
        <w:t xml:space="preserve"> </w:t>
      </w:r>
      <w:r w:rsidR="00EB1F47" w:rsidRPr="00716050">
        <w:rPr>
          <w:bCs/>
          <w:sz w:val="22"/>
          <w:szCs w:val="22"/>
        </w:rPr>
        <w:t>Doba trvání pracovního života</w:t>
      </w:r>
      <w:r w:rsidR="004C7785" w:rsidRPr="00716050">
        <w:rPr>
          <w:bCs/>
          <w:sz w:val="22"/>
          <w:szCs w:val="22"/>
        </w:rPr>
        <w:t xml:space="preserve"> podle pohlaví</w:t>
      </w:r>
      <w:r w:rsidR="00EB1F47" w:rsidRPr="00716050">
        <w:rPr>
          <w:bCs/>
          <w:sz w:val="22"/>
          <w:szCs w:val="22"/>
        </w:rPr>
        <w:t xml:space="preserve"> v ČR, Polsku a EU (28)</w:t>
      </w:r>
      <w:r w:rsidR="00142AE9">
        <w:rPr>
          <w:bCs/>
          <w:sz w:val="22"/>
          <w:szCs w:val="22"/>
        </w:rPr>
        <w:t>, vyjádřena v letech,</w:t>
      </w:r>
      <w:r w:rsidR="00EB1F47" w:rsidRPr="00716050">
        <w:rPr>
          <w:bCs/>
          <w:sz w:val="22"/>
          <w:szCs w:val="22"/>
        </w:rPr>
        <w:t xml:space="preserve"> v období 2008-2012</w:t>
      </w:r>
    </w:p>
    <w:p w14:paraId="053A5F99" w14:textId="77777777" w:rsidR="006A39C7" w:rsidRDefault="00A039F8" w:rsidP="00625F4B">
      <w:pPr>
        <w:spacing w:after="20"/>
        <w:jc w:val="left"/>
        <w:rPr>
          <w:bCs/>
          <w:szCs w:val="24"/>
        </w:rPr>
      </w:pPr>
      <w:r>
        <w:rPr>
          <w:noProof/>
          <w:lang w:eastAsia="ja-JP"/>
        </w:rPr>
        <w:drawing>
          <wp:inline distT="0" distB="0" distL="0" distR="0" wp14:anchorId="5D847F4E" wp14:editId="3F14BD49">
            <wp:extent cx="5712142" cy="3072130"/>
            <wp:effectExtent l="0" t="0" r="28575" b="266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7219B8" w14:textId="77777777" w:rsidR="00EB1F47" w:rsidRPr="00EB1F47" w:rsidRDefault="00EB1F47" w:rsidP="00625F4B">
      <w:pPr>
        <w:spacing w:after="20"/>
        <w:jc w:val="left"/>
        <w:rPr>
          <w:bCs/>
          <w:sz w:val="22"/>
          <w:szCs w:val="22"/>
        </w:rPr>
      </w:pPr>
      <w:r w:rsidRPr="00EB1F47">
        <w:rPr>
          <w:bCs/>
          <w:sz w:val="22"/>
          <w:szCs w:val="22"/>
        </w:rPr>
        <w:t xml:space="preserve">Zdroj: Eutosta, </w:t>
      </w:r>
      <w:r w:rsidR="004C7785" w:rsidRPr="004C7785">
        <w:rPr>
          <w:bCs/>
          <w:sz w:val="22"/>
          <w:szCs w:val="22"/>
        </w:rPr>
        <w:t xml:space="preserve">Average exit age from the labour force by gender </w:t>
      </w:r>
      <w:r w:rsidRPr="00EB1F47">
        <w:rPr>
          <w:bCs/>
          <w:sz w:val="22"/>
          <w:szCs w:val="22"/>
        </w:rPr>
        <w:t>(2014), vlastní úprava</w:t>
      </w:r>
    </w:p>
    <w:p w14:paraId="535176F8" w14:textId="14F1A75D" w:rsidR="00EB1F47" w:rsidRDefault="00C650B8" w:rsidP="00625F4B">
      <w:pPr>
        <w:spacing w:after="20"/>
        <w:jc w:val="left"/>
        <w:rPr>
          <w:bCs/>
          <w:sz w:val="22"/>
          <w:szCs w:val="22"/>
        </w:rPr>
      </w:pPr>
      <w:r>
        <w:rPr>
          <w:bCs/>
          <w:sz w:val="22"/>
          <w:szCs w:val="22"/>
        </w:rPr>
        <w:t>Poznámka</w:t>
      </w:r>
      <w:r w:rsidR="004C7785">
        <w:rPr>
          <w:bCs/>
          <w:sz w:val="22"/>
          <w:szCs w:val="22"/>
        </w:rPr>
        <w:t>: Graf</w:t>
      </w:r>
      <w:r w:rsidR="00716050">
        <w:rPr>
          <w:bCs/>
          <w:sz w:val="22"/>
          <w:szCs w:val="22"/>
        </w:rPr>
        <w:t xml:space="preserve"> vychází z tabulky 17 a 18</w:t>
      </w:r>
      <w:r w:rsidR="00EB1F47" w:rsidRPr="00EB1F47">
        <w:rPr>
          <w:bCs/>
          <w:sz w:val="22"/>
          <w:szCs w:val="22"/>
        </w:rPr>
        <w:t xml:space="preserve"> v</w:t>
      </w:r>
      <w:r w:rsidR="00EB1F47">
        <w:rPr>
          <w:bCs/>
          <w:sz w:val="22"/>
          <w:szCs w:val="22"/>
        </w:rPr>
        <w:t> </w:t>
      </w:r>
      <w:r w:rsidR="00EB1F47" w:rsidRPr="00EB1F47">
        <w:rPr>
          <w:bCs/>
          <w:sz w:val="22"/>
          <w:szCs w:val="22"/>
        </w:rPr>
        <w:t>příloze</w:t>
      </w:r>
    </w:p>
    <w:p w14:paraId="774DDABD" w14:textId="77777777" w:rsidR="00EB1F47" w:rsidRDefault="00EB1F47" w:rsidP="00625F4B">
      <w:pPr>
        <w:spacing w:after="20"/>
        <w:jc w:val="left"/>
        <w:rPr>
          <w:bCs/>
          <w:sz w:val="22"/>
          <w:szCs w:val="22"/>
        </w:rPr>
      </w:pPr>
    </w:p>
    <w:p w14:paraId="00CD6BEA" w14:textId="77777777" w:rsidR="00EB1F47" w:rsidRPr="00EB1F47" w:rsidRDefault="00EB1F47" w:rsidP="00D12EBE">
      <w:pPr>
        <w:spacing w:after="20"/>
        <w:rPr>
          <w:bCs/>
          <w:szCs w:val="24"/>
        </w:rPr>
      </w:pPr>
      <w:r>
        <w:rPr>
          <w:bCs/>
          <w:szCs w:val="24"/>
        </w:rPr>
        <w:t>Na grafu znázorňujícím dobu pracovního života v ČR, Polsku a pro porovnání i EU (28)</w:t>
      </w:r>
      <w:r w:rsidR="0054160B">
        <w:rPr>
          <w:bCs/>
          <w:szCs w:val="24"/>
        </w:rPr>
        <w:t>,</w:t>
      </w:r>
      <w:r>
        <w:rPr>
          <w:bCs/>
          <w:szCs w:val="24"/>
        </w:rPr>
        <w:t xml:space="preserve">  je jasně patrné, že muži</w:t>
      </w:r>
      <w:r w:rsidR="0054160B">
        <w:rPr>
          <w:bCs/>
          <w:szCs w:val="24"/>
        </w:rPr>
        <w:t xml:space="preserve"> obecně</w:t>
      </w:r>
      <w:r>
        <w:rPr>
          <w:bCs/>
          <w:szCs w:val="24"/>
        </w:rPr>
        <w:t xml:space="preserve"> pracují delší </w:t>
      </w:r>
      <w:r w:rsidR="0054160B">
        <w:rPr>
          <w:bCs/>
          <w:szCs w:val="24"/>
        </w:rPr>
        <w:t>dobu než ženy. Muži v ČR a EU (28)</w:t>
      </w:r>
      <w:r>
        <w:rPr>
          <w:bCs/>
          <w:szCs w:val="24"/>
        </w:rPr>
        <w:t xml:space="preserve"> pracují</w:t>
      </w:r>
      <w:r w:rsidR="0054160B">
        <w:rPr>
          <w:bCs/>
          <w:szCs w:val="24"/>
        </w:rPr>
        <w:t xml:space="preserve"> přibližně stejný čas, však délka pracovního života v Polsku je u mužů i žen nejnižší z porovnávaných ukazatelů.</w:t>
      </w:r>
      <w:r w:rsidR="005053DA">
        <w:rPr>
          <w:bCs/>
          <w:szCs w:val="24"/>
        </w:rPr>
        <w:t xml:space="preserve"> Rozdíl m</w:t>
      </w:r>
      <w:r w:rsidR="006E734C">
        <w:rPr>
          <w:bCs/>
          <w:szCs w:val="24"/>
        </w:rPr>
        <w:t xml:space="preserve">ezi dobou trvání pracovního života u ženy v ČR je průměrně o 1,72 roku delší, než u pracující ženy v Polsku. </w:t>
      </w:r>
      <w:r w:rsidR="0054160B">
        <w:rPr>
          <w:bCs/>
          <w:szCs w:val="24"/>
        </w:rPr>
        <w:t>České ženy pracují také méně, než je průměr států EU (28). Na grafu vidíme také, že doba trvání pracovního života</w:t>
      </w:r>
      <w:r w:rsidR="00091707">
        <w:rPr>
          <w:bCs/>
          <w:szCs w:val="24"/>
        </w:rPr>
        <w:t xml:space="preserve"> u všech ukazatelů mírně stoupá, což je dopad obecného prodlužování délky života lidí na celé planetě.</w:t>
      </w:r>
    </w:p>
    <w:p w14:paraId="63B1AF2C" w14:textId="77777777" w:rsidR="002F2F8B" w:rsidRPr="002F2F8B" w:rsidRDefault="002F2F8B" w:rsidP="00625F4B">
      <w:pPr>
        <w:pStyle w:val="Nadpis3"/>
      </w:pPr>
      <w:bookmarkStart w:id="25" w:name="_Toc281822801"/>
      <w:r>
        <w:t>Hodnotící komentář</w:t>
      </w:r>
      <w:r w:rsidR="00DF1800">
        <w:t xml:space="preserve"> druhé části</w:t>
      </w:r>
      <w:bookmarkEnd w:id="25"/>
    </w:p>
    <w:p w14:paraId="329A098C" w14:textId="129B5480" w:rsidR="00870BFB" w:rsidRDefault="002F2F8B" w:rsidP="00D12EBE">
      <w:pPr>
        <w:spacing w:after="20"/>
        <w:rPr>
          <w:bCs/>
          <w:szCs w:val="24"/>
        </w:rPr>
      </w:pPr>
      <w:r>
        <w:t>Prvním měřeným</w:t>
      </w:r>
      <w:r w:rsidR="006E734C">
        <w:t xml:space="preserve"> ukazatelem v této podskupině</w:t>
      </w:r>
      <w:r w:rsidR="006E734C">
        <w:rPr>
          <w:bCs/>
          <w:szCs w:val="24"/>
        </w:rPr>
        <w:t xml:space="preserve"> je</w:t>
      </w:r>
      <w:r>
        <w:rPr>
          <w:bCs/>
          <w:szCs w:val="24"/>
        </w:rPr>
        <w:t xml:space="preserve"> </w:t>
      </w:r>
      <w:r w:rsidRPr="0083095B">
        <w:rPr>
          <w:bCs/>
          <w:i/>
          <w:szCs w:val="24"/>
        </w:rPr>
        <w:t>ne</w:t>
      </w:r>
      <w:r w:rsidR="000C054F">
        <w:rPr>
          <w:bCs/>
          <w:i/>
          <w:szCs w:val="24"/>
        </w:rPr>
        <w:t>zaměstnanost žen a mužů, 15 až 7</w:t>
      </w:r>
      <w:r w:rsidRPr="0083095B">
        <w:rPr>
          <w:bCs/>
          <w:i/>
          <w:szCs w:val="24"/>
        </w:rPr>
        <w:t>4 let.</w:t>
      </w:r>
      <w:r>
        <w:rPr>
          <w:bCs/>
          <w:szCs w:val="24"/>
        </w:rPr>
        <w:t xml:space="preserve"> Zde výsledky jasně ukazují skutečnost, že čeští muži</w:t>
      </w:r>
      <w:r w:rsidR="00B369A6">
        <w:rPr>
          <w:bCs/>
          <w:szCs w:val="24"/>
        </w:rPr>
        <w:t>, jež mají nejnižší hodnot nezaměstnanosti,</w:t>
      </w:r>
      <w:r>
        <w:rPr>
          <w:bCs/>
          <w:szCs w:val="24"/>
        </w:rPr>
        <w:t xml:space="preserve"> mají mnohem větší šanci zaměstnání než polské ženy, které v tomto výsledku skončily na posledním místě. </w:t>
      </w:r>
    </w:p>
    <w:p w14:paraId="5A6D07A4" w14:textId="77777777" w:rsidR="002F2F8B" w:rsidRPr="002F2F8B" w:rsidRDefault="00B369A6" w:rsidP="00D12EBE">
      <w:pPr>
        <w:spacing w:after="20"/>
        <w:rPr>
          <w:bCs/>
          <w:szCs w:val="24"/>
        </w:rPr>
      </w:pPr>
      <w:r>
        <w:rPr>
          <w:bCs/>
          <w:szCs w:val="24"/>
        </w:rPr>
        <w:t>Dále se zde objevuje jev, že č</w:t>
      </w:r>
      <w:r w:rsidR="00870BFB">
        <w:rPr>
          <w:bCs/>
          <w:szCs w:val="24"/>
        </w:rPr>
        <w:t xml:space="preserve">eské ženy i muži mají </w:t>
      </w:r>
      <w:r>
        <w:rPr>
          <w:bCs/>
          <w:szCs w:val="24"/>
        </w:rPr>
        <w:t>oproti oběma srovnávaným zemím nej</w:t>
      </w:r>
      <w:r w:rsidR="00870BFB">
        <w:rPr>
          <w:bCs/>
          <w:szCs w:val="24"/>
        </w:rPr>
        <w:t>větší šanci získat zaměstnání. Na grafu se také projevuje globální ekonomická krize v roce 2008, kdy míra nezaměstnanosti mohutně stoupla v obou zemích. V posledních letech nárust nezaměstnanosti není tak veliký, i přes to</w:t>
      </w:r>
      <w:r>
        <w:rPr>
          <w:bCs/>
          <w:szCs w:val="24"/>
        </w:rPr>
        <w:t xml:space="preserve"> však</w:t>
      </w:r>
      <w:r w:rsidR="00870BFB">
        <w:rPr>
          <w:bCs/>
          <w:szCs w:val="24"/>
        </w:rPr>
        <w:t xml:space="preserve"> stále stoupá. Pokud to shrneme, tak si zde celkově</w:t>
      </w:r>
      <w:r w:rsidR="002F2F8B">
        <w:rPr>
          <w:bCs/>
          <w:szCs w:val="24"/>
        </w:rPr>
        <w:t xml:space="preserve"> ČR vede velmi dobře a má i lepší výsledky než EU průměr. </w:t>
      </w:r>
      <w:r w:rsidR="00870BFB">
        <w:rPr>
          <w:bCs/>
          <w:szCs w:val="24"/>
        </w:rPr>
        <w:t>Polsko je na tom podstatně hůře.</w:t>
      </w:r>
    </w:p>
    <w:p w14:paraId="23CAF8DE" w14:textId="1E11FF8A" w:rsidR="00D12EBE" w:rsidRDefault="002F2F8B" w:rsidP="00D12EBE">
      <w:pPr>
        <w:spacing w:after="20"/>
        <w:rPr>
          <w:bCs/>
        </w:rPr>
      </w:pPr>
      <w:r>
        <w:rPr>
          <w:bCs/>
          <w:szCs w:val="24"/>
        </w:rPr>
        <w:t xml:space="preserve">Na druhém grafu </w:t>
      </w:r>
      <w:r w:rsidRPr="00CC720C">
        <w:rPr>
          <w:bCs/>
          <w:szCs w:val="24"/>
        </w:rPr>
        <w:t xml:space="preserve">vidíme </w:t>
      </w:r>
      <w:r w:rsidRPr="0083095B">
        <w:rPr>
          <w:bCs/>
          <w:i/>
        </w:rPr>
        <w:t>míru nezaměstnanosti ž</w:t>
      </w:r>
      <w:r w:rsidR="000C054F">
        <w:rPr>
          <w:bCs/>
          <w:i/>
        </w:rPr>
        <w:t>en i mužů 15 až 24 let a 25 až 7</w:t>
      </w:r>
      <w:r w:rsidRPr="0083095B">
        <w:rPr>
          <w:bCs/>
          <w:i/>
        </w:rPr>
        <w:t>4 let</w:t>
      </w:r>
      <w:r w:rsidR="00870BFB" w:rsidRPr="0083095B">
        <w:rPr>
          <w:bCs/>
          <w:i/>
        </w:rPr>
        <w:t>.</w:t>
      </w:r>
      <w:r w:rsidR="00B369A6">
        <w:rPr>
          <w:bCs/>
        </w:rPr>
        <w:t xml:space="preserve"> Toto porovnání</w:t>
      </w:r>
      <w:r w:rsidR="00870BFB">
        <w:rPr>
          <w:bCs/>
        </w:rPr>
        <w:t xml:space="preserve"> autorka práce zvolila</w:t>
      </w:r>
      <w:r w:rsidR="00B369A6">
        <w:rPr>
          <w:bCs/>
        </w:rPr>
        <w:t xml:space="preserve"> i</w:t>
      </w:r>
      <w:r>
        <w:rPr>
          <w:bCs/>
        </w:rPr>
        <w:t xml:space="preserve"> z vlastního zájmu o tuto skutečnost. Je zde jasně vidět, že mladí lidé z ČR, Polska i celé EU mají stále mírně narůstající problém se získáním práce. ČR se drží trvale pod průměrem EU</w:t>
      </w:r>
      <w:r w:rsidR="00B369A6">
        <w:rPr>
          <w:bCs/>
        </w:rPr>
        <w:t xml:space="preserve"> (28)</w:t>
      </w:r>
      <w:r>
        <w:rPr>
          <w:bCs/>
        </w:rPr>
        <w:t xml:space="preserve">, i přes to stále mírně </w:t>
      </w:r>
      <w:r w:rsidR="00870BFB">
        <w:rPr>
          <w:bCs/>
        </w:rPr>
        <w:t xml:space="preserve">míra nezaměstnanosti </w:t>
      </w:r>
      <w:r>
        <w:rPr>
          <w:bCs/>
        </w:rPr>
        <w:t xml:space="preserve">narůstá. </w:t>
      </w:r>
      <w:r w:rsidR="00D12EBE">
        <w:rPr>
          <w:bCs/>
        </w:rPr>
        <w:t>Nejhůře můžeme hodnotit osoby</w:t>
      </w:r>
      <w:r w:rsidR="00870BFB">
        <w:rPr>
          <w:bCs/>
        </w:rPr>
        <w:t xml:space="preserve"> ve věku 15-24 z Polska. Zde je míra nezaměstnanosti </w:t>
      </w:r>
      <w:r w:rsidR="00D12EBE">
        <w:rPr>
          <w:bCs/>
        </w:rPr>
        <w:t>skoro 1,5 krát větší než u stejně starých osob z ČR. Oproti těmto špatným výsledkům</w:t>
      </w:r>
      <w:r w:rsidR="000C054F">
        <w:rPr>
          <w:bCs/>
        </w:rPr>
        <w:t xml:space="preserve"> si Polská populace ve věku 25-7</w:t>
      </w:r>
      <w:r w:rsidR="00D12EBE">
        <w:rPr>
          <w:bCs/>
        </w:rPr>
        <w:t>4 let stojí pod průměrem EU (28). Negativním ukazatelem je fakt, že míra ne</w:t>
      </w:r>
      <w:r w:rsidR="00B369A6">
        <w:rPr>
          <w:bCs/>
        </w:rPr>
        <w:t xml:space="preserve">zaměstnanosti ve všech ukazatelích </w:t>
      </w:r>
      <w:r w:rsidR="00D12EBE">
        <w:rPr>
          <w:bCs/>
        </w:rPr>
        <w:t xml:space="preserve"> stoupá.</w:t>
      </w:r>
    </w:p>
    <w:p w14:paraId="3CBA31C4" w14:textId="77777777" w:rsidR="00DF1800" w:rsidRPr="007B3DE0" w:rsidRDefault="00DF1800" w:rsidP="00D12EBE">
      <w:pPr>
        <w:spacing w:after="20"/>
        <w:rPr>
          <w:bCs/>
        </w:rPr>
      </w:pPr>
      <w:r>
        <w:rPr>
          <w:bCs/>
        </w:rPr>
        <w:t xml:space="preserve">Na třetím grafu vidíme </w:t>
      </w:r>
      <w:r w:rsidRPr="0083095B">
        <w:rPr>
          <w:bCs/>
          <w:i/>
        </w:rPr>
        <w:t>míru nezaměstnanosti podle dosaženého vzdělání</w:t>
      </w:r>
      <w:r>
        <w:rPr>
          <w:bCs/>
        </w:rPr>
        <w:t xml:space="preserve">. </w:t>
      </w:r>
      <w:r w:rsidR="00B369A6">
        <w:rPr>
          <w:bCs/>
        </w:rPr>
        <w:t>V tomto grafu jasně dominují Če</w:t>
      </w:r>
      <w:r w:rsidR="0083095B">
        <w:rPr>
          <w:bCs/>
        </w:rPr>
        <w:t>ši s mírou vzdělání 0-2, což je negativní jev pro Českou republiku. I Polsko je nad průměrem států EU (28) v ukazateli nejnižšího vzdělání. Z grafu je patrné, že čím vyšší vzdělání dotyčná osoba má, tím větší šance získat zaměstnání je a to platí pro všechny státy v grafu. Šance na získání pracovního místa je v případě Čechů se vzděláním 5-8 a 0-2 až 11,5 krát větší, v průměru.</w:t>
      </w:r>
      <w:r w:rsidR="001A012E">
        <w:rPr>
          <w:bCs/>
        </w:rPr>
        <w:t xml:space="preserve"> V případě Polska a stejných parametrů je šance na získání pracovního místa až 3,8 krát větší, což je v porovnání se stejným výsledkem v ČR 5,7 krát menší pravděpodobnost. </w:t>
      </w:r>
    </w:p>
    <w:p w14:paraId="4E14133B" w14:textId="77777777" w:rsidR="005C33DE" w:rsidRDefault="00F84D5B" w:rsidP="00D12EBE">
      <w:pPr>
        <w:spacing w:after="20"/>
      </w:pPr>
      <w:r>
        <w:t>Dalším</w:t>
      </w:r>
      <w:r w:rsidR="002F2F8B">
        <w:t xml:space="preserve"> ukazatel byla měřena </w:t>
      </w:r>
      <w:r w:rsidR="002F2F8B" w:rsidRPr="001A012E">
        <w:rPr>
          <w:i/>
        </w:rPr>
        <w:t>míra zaměstnanosti starších pracovníků dle pohlav</w:t>
      </w:r>
      <w:r w:rsidR="001A012E">
        <w:rPr>
          <w:i/>
        </w:rPr>
        <w:t>í</w:t>
      </w:r>
      <w:r w:rsidR="002F2F8B">
        <w:t xml:space="preserve">. Zde vidíme, že </w:t>
      </w:r>
      <w:r w:rsidR="005C33DE">
        <w:t>starší muži, mají rozhodně větší šanci pro získání pracovního místa, než starší ženy</w:t>
      </w:r>
      <w:r w:rsidR="00D12EBE">
        <w:t xml:space="preserve"> a to v obou sledovaných státech i dle průměru států EU (28)</w:t>
      </w:r>
      <w:r w:rsidR="005C33DE">
        <w:t xml:space="preserve">. Až kritický stav je u žen v Polsku, kde ale naštěstí míra zaměstnanosti, stále mírně stoupá. </w:t>
      </w:r>
      <w:r w:rsidR="00DF1800">
        <w:t xml:space="preserve">Míra zaměstnanosti starších polských mužů </w:t>
      </w:r>
      <w:r w:rsidR="001A012E">
        <w:t xml:space="preserve">je </w:t>
      </w:r>
      <w:r w:rsidR="00DF1800">
        <w:t>oproti</w:t>
      </w:r>
      <w:r w:rsidR="001A012E">
        <w:t xml:space="preserve"> starším polským</w:t>
      </w:r>
      <w:r w:rsidR="00DF1800">
        <w:t xml:space="preserve"> ženám 1,8 krát větší. U českých mužů a žen je rozdíl ve prospěch mužů 1,6 krát větší.</w:t>
      </w:r>
      <w:r w:rsidR="001A012E">
        <w:t xml:space="preserve"> Pokud porovnáme nejlepší a nejhorší ukazatele tak jsou čeští muži oproti polským ženám ve skoro 2,4 krát lepším postavení v míře zaměstnanosti. </w:t>
      </w:r>
    </w:p>
    <w:p w14:paraId="73328EE7" w14:textId="77777777" w:rsidR="00CC11A4" w:rsidRDefault="00CC11A4" w:rsidP="00D12EBE">
      <w:pPr>
        <w:widowControl w:val="0"/>
        <w:autoSpaceDE w:val="0"/>
        <w:autoSpaceDN w:val="0"/>
        <w:adjustRightInd w:val="0"/>
        <w:spacing w:after="20"/>
      </w:pPr>
      <w:r>
        <w:t xml:space="preserve">V grafu </w:t>
      </w:r>
      <w:r w:rsidRPr="00BB3B8C">
        <w:rPr>
          <w:i/>
        </w:rPr>
        <w:t>produktivity práce na jednu odpracovanou hodinu</w:t>
      </w:r>
      <w:r>
        <w:t xml:space="preserve"> si ČR stojí lépe než Polsko, avšak po celé sledované období hodnoty ČR klesají a to až o 11,6 jednotek. Obě země jsou navíc velmi vzdáleny od </w:t>
      </w:r>
      <w:r w:rsidR="00B369A6">
        <w:t>průměru (EU28</w:t>
      </w:r>
      <w:r w:rsidR="0056274E">
        <w:t xml:space="preserve">. </w:t>
      </w:r>
      <w:r w:rsidR="00BB3B8C">
        <w:t xml:space="preserve">V této oblasti je prostor pro zlepšení Polska i České republiky. </w:t>
      </w:r>
    </w:p>
    <w:p w14:paraId="75A13744" w14:textId="77777777" w:rsidR="0054160B" w:rsidRPr="00F84D5B" w:rsidRDefault="0054160B" w:rsidP="00D12EBE">
      <w:pPr>
        <w:widowControl w:val="0"/>
        <w:autoSpaceDE w:val="0"/>
        <w:autoSpaceDN w:val="0"/>
        <w:adjustRightInd w:val="0"/>
        <w:spacing w:after="20"/>
      </w:pPr>
      <w:r>
        <w:t>Na</w:t>
      </w:r>
      <w:r w:rsidR="00BB3B8C">
        <w:t xml:space="preserve"> posledním</w:t>
      </w:r>
      <w:r>
        <w:t xml:space="preserve"> grafu</w:t>
      </w:r>
      <w:r w:rsidR="00BB3B8C">
        <w:t xml:space="preserve"> tohoto bloku, jímž je</w:t>
      </w:r>
      <w:r>
        <w:t xml:space="preserve"> </w:t>
      </w:r>
      <w:r w:rsidRPr="00BB3B8C">
        <w:rPr>
          <w:i/>
        </w:rPr>
        <w:t>trvání pracovní doby</w:t>
      </w:r>
      <w:r w:rsidR="004C7785">
        <w:rPr>
          <w:i/>
        </w:rPr>
        <w:t xml:space="preserve"> podle pohlaví</w:t>
      </w:r>
      <w:r>
        <w:t xml:space="preserve"> vi</w:t>
      </w:r>
      <w:r w:rsidR="004C7785">
        <w:t xml:space="preserve">díme, </w:t>
      </w:r>
      <w:r>
        <w:t xml:space="preserve">že s prodlužujícím se věkem života se prodlužuje i délka trvání pracovní doby. Tento fakt se projevuje u všech hodnocených ukazatelů. </w:t>
      </w:r>
      <w:r w:rsidR="00E14A51">
        <w:t xml:space="preserve">Ženy pracují obecně méně než muži a nejméně pracují ženy v Polsku. Poláci pracují méně než Češi a to muži i ženy. </w:t>
      </w:r>
      <w:r w:rsidR="00BB3B8C">
        <w:t>Pracujícímu muži v ČR trvá</w:t>
      </w:r>
      <w:r w:rsidR="00472C0B">
        <w:t xml:space="preserve"> v průměru</w:t>
      </w:r>
      <w:r w:rsidR="00BB3B8C">
        <w:t xml:space="preserve"> doba pracovního života </w:t>
      </w:r>
      <w:r w:rsidR="00472C0B">
        <w:t>37,28 let. U mužů z Polska je tato hodnota o 3,3 roku kr</w:t>
      </w:r>
      <w:r w:rsidR="00B369A6">
        <w:t>atší, tedy 33,98let. Můžeme tak</w:t>
      </w:r>
      <w:r w:rsidR="00472C0B">
        <w:t xml:space="preserve"> konstatovat, že čeští muži, ve většině případů, splňují průměry států EU (28) a české ženy jsou těsně pod tímto ženským průměrem. Poláci mají dobu trvání pracovního života v případě mužů i žen nejnižší ze srovnávaných států.</w:t>
      </w:r>
    </w:p>
    <w:p w14:paraId="44D21594" w14:textId="77777777" w:rsidR="007B3DE0" w:rsidRDefault="007B3DE0" w:rsidP="00D12EBE">
      <w:pPr>
        <w:spacing w:after="20"/>
      </w:pPr>
    </w:p>
    <w:p w14:paraId="4A929B91" w14:textId="77777777" w:rsidR="006C7F5A" w:rsidRDefault="00F84D5B" w:rsidP="00D12EBE">
      <w:pPr>
        <w:spacing w:after="20"/>
      </w:pPr>
      <w:r>
        <w:t xml:space="preserve">Všechny ukazatele </w:t>
      </w:r>
      <w:r w:rsidR="005C33DE">
        <w:t>lze hodnotit jako pozitivní pro ČR. Ve v</w:t>
      </w:r>
      <w:r w:rsidR="00C650B8">
        <w:t>ýše zmiň</w:t>
      </w:r>
      <w:r w:rsidR="005C33DE" w:rsidRPr="005C33DE">
        <w:t>ovaných ukaz</w:t>
      </w:r>
      <w:r w:rsidR="00C650B8">
        <w:t>atelích je ekonomika ČR výkonnější. Tém</w:t>
      </w:r>
      <w:r w:rsidR="00351FA6">
        <w:t>ěř ve všech ukazatelích př</w:t>
      </w:r>
      <w:r w:rsidR="005C33DE" w:rsidRPr="005C33DE">
        <w:t>esahuje hodnoty jak Polska, tak i EU</w:t>
      </w:r>
      <w:r w:rsidR="00351FA6">
        <w:t>. Ekonomika Polska je sice méně</w:t>
      </w:r>
      <w:r w:rsidR="005C33DE" w:rsidRPr="005C33DE">
        <w:t xml:space="preserve"> výkonná, ale pozitivní je, </w:t>
      </w:r>
      <w:r w:rsidR="005C33DE">
        <w:t>že</w:t>
      </w:r>
      <w:r w:rsidR="005C33DE" w:rsidRPr="005C33DE">
        <w:t xml:space="preserve"> ve </w:t>
      </w:r>
      <w:r w:rsidR="00472C0B">
        <w:t xml:space="preserve">většině </w:t>
      </w:r>
      <w:r w:rsidR="00351FA6">
        <w:t>zmiňovaných ukazatelích má vzrůstající trend. Tím se přibližuje průmě</w:t>
      </w:r>
      <w:r w:rsidR="005C33DE" w:rsidRPr="005C33DE">
        <w:t xml:space="preserve">ru Evropské unie. </w:t>
      </w:r>
    </w:p>
    <w:p w14:paraId="7566EA7B" w14:textId="77777777" w:rsidR="00D23CCB" w:rsidRDefault="00D23CCB" w:rsidP="00625F4B">
      <w:pPr>
        <w:spacing w:after="20"/>
        <w:jc w:val="left"/>
        <w:rPr>
          <w:color w:val="000000"/>
          <w:szCs w:val="24"/>
          <w:shd w:val="clear" w:color="auto" w:fill="FFFFFF"/>
        </w:rPr>
      </w:pPr>
    </w:p>
    <w:p w14:paraId="083E649A" w14:textId="77777777" w:rsidR="005539AF" w:rsidRDefault="005539AF" w:rsidP="00625F4B">
      <w:pPr>
        <w:spacing w:after="20"/>
        <w:jc w:val="left"/>
        <w:rPr>
          <w:color w:val="000000"/>
          <w:szCs w:val="24"/>
          <w:shd w:val="clear" w:color="auto" w:fill="FFFFFF"/>
        </w:rPr>
      </w:pPr>
    </w:p>
    <w:p w14:paraId="5CA61B6B" w14:textId="77777777" w:rsidR="005539AF" w:rsidRDefault="005539AF" w:rsidP="00625F4B">
      <w:pPr>
        <w:spacing w:after="20"/>
        <w:jc w:val="left"/>
        <w:rPr>
          <w:color w:val="000000"/>
          <w:szCs w:val="24"/>
          <w:shd w:val="clear" w:color="auto" w:fill="FFFFFF"/>
        </w:rPr>
      </w:pPr>
    </w:p>
    <w:p w14:paraId="6B76CFE7" w14:textId="77777777" w:rsidR="005539AF" w:rsidRDefault="005539AF" w:rsidP="00625F4B">
      <w:pPr>
        <w:spacing w:after="20"/>
        <w:jc w:val="left"/>
        <w:rPr>
          <w:color w:val="000000"/>
          <w:szCs w:val="24"/>
          <w:shd w:val="clear" w:color="auto" w:fill="FFFFFF"/>
        </w:rPr>
      </w:pPr>
    </w:p>
    <w:p w14:paraId="4812D0AC" w14:textId="77777777" w:rsidR="005539AF" w:rsidRDefault="005539AF" w:rsidP="00625F4B">
      <w:pPr>
        <w:spacing w:after="20"/>
        <w:jc w:val="left"/>
        <w:rPr>
          <w:color w:val="000000"/>
          <w:szCs w:val="24"/>
          <w:shd w:val="clear" w:color="auto" w:fill="FFFFFF"/>
        </w:rPr>
      </w:pPr>
    </w:p>
    <w:p w14:paraId="14DC24CA" w14:textId="77777777" w:rsidR="005539AF" w:rsidRDefault="005539AF" w:rsidP="00625F4B">
      <w:pPr>
        <w:spacing w:after="20"/>
        <w:jc w:val="left"/>
        <w:rPr>
          <w:color w:val="000000"/>
          <w:szCs w:val="24"/>
          <w:shd w:val="clear" w:color="auto" w:fill="FFFFFF"/>
        </w:rPr>
      </w:pPr>
    </w:p>
    <w:p w14:paraId="5C7C05BD" w14:textId="77777777" w:rsidR="005539AF" w:rsidRDefault="005539AF" w:rsidP="00625F4B">
      <w:pPr>
        <w:spacing w:after="20"/>
        <w:jc w:val="left"/>
        <w:rPr>
          <w:color w:val="000000"/>
          <w:szCs w:val="24"/>
          <w:shd w:val="clear" w:color="auto" w:fill="FFFFFF"/>
        </w:rPr>
      </w:pPr>
    </w:p>
    <w:p w14:paraId="1CF511E2" w14:textId="77777777" w:rsidR="005539AF" w:rsidRDefault="005539AF" w:rsidP="00625F4B">
      <w:pPr>
        <w:spacing w:after="20"/>
        <w:jc w:val="left"/>
        <w:rPr>
          <w:color w:val="000000"/>
          <w:szCs w:val="24"/>
          <w:shd w:val="clear" w:color="auto" w:fill="FFFFFF"/>
        </w:rPr>
      </w:pPr>
    </w:p>
    <w:p w14:paraId="00BBC600" w14:textId="77777777" w:rsidR="005539AF" w:rsidRDefault="005539AF" w:rsidP="00625F4B">
      <w:pPr>
        <w:spacing w:after="20"/>
        <w:jc w:val="left"/>
        <w:rPr>
          <w:color w:val="000000"/>
          <w:szCs w:val="24"/>
          <w:shd w:val="clear" w:color="auto" w:fill="FFFFFF"/>
        </w:rPr>
      </w:pPr>
    </w:p>
    <w:p w14:paraId="3EA798A2" w14:textId="77777777" w:rsidR="005539AF" w:rsidRDefault="005539AF" w:rsidP="00625F4B">
      <w:pPr>
        <w:spacing w:after="20"/>
        <w:jc w:val="left"/>
        <w:rPr>
          <w:color w:val="000000"/>
          <w:szCs w:val="24"/>
          <w:shd w:val="clear" w:color="auto" w:fill="FFFFFF"/>
        </w:rPr>
      </w:pPr>
    </w:p>
    <w:p w14:paraId="3E976641" w14:textId="77777777" w:rsidR="005539AF" w:rsidRDefault="005539AF" w:rsidP="00625F4B">
      <w:pPr>
        <w:spacing w:after="20"/>
        <w:jc w:val="left"/>
        <w:rPr>
          <w:color w:val="000000"/>
          <w:szCs w:val="24"/>
          <w:shd w:val="clear" w:color="auto" w:fill="FFFFFF"/>
        </w:rPr>
      </w:pPr>
    </w:p>
    <w:p w14:paraId="513AA407" w14:textId="77777777" w:rsidR="005539AF" w:rsidRDefault="005539AF" w:rsidP="00625F4B">
      <w:pPr>
        <w:spacing w:after="20"/>
        <w:jc w:val="left"/>
        <w:rPr>
          <w:color w:val="000000"/>
          <w:szCs w:val="24"/>
          <w:shd w:val="clear" w:color="auto" w:fill="FFFFFF"/>
        </w:rPr>
      </w:pPr>
    </w:p>
    <w:p w14:paraId="51B38745" w14:textId="77777777" w:rsidR="005539AF" w:rsidRDefault="005539AF" w:rsidP="00625F4B">
      <w:pPr>
        <w:spacing w:after="20"/>
        <w:jc w:val="left"/>
        <w:rPr>
          <w:color w:val="000000"/>
          <w:szCs w:val="24"/>
          <w:shd w:val="clear" w:color="auto" w:fill="FFFFFF"/>
        </w:rPr>
      </w:pPr>
    </w:p>
    <w:p w14:paraId="6F593D07" w14:textId="77777777" w:rsidR="005539AF" w:rsidRDefault="005539AF" w:rsidP="00625F4B">
      <w:pPr>
        <w:spacing w:after="20"/>
        <w:jc w:val="left"/>
        <w:rPr>
          <w:color w:val="000000"/>
          <w:szCs w:val="24"/>
          <w:shd w:val="clear" w:color="auto" w:fill="FFFFFF"/>
        </w:rPr>
      </w:pPr>
    </w:p>
    <w:p w14:paraId="4D872303" w14:textId="77777777" w:rsidR="005539AF" w:rsidRDefault="005539AF" w:rsidP="00625F4B">
      <w:pPr>
        <w:spacing w:after="20"/>
        <w:jc w:val="left"/>
        <w:rPr>
          <w:color w:val="000000"/>
          <w:szCs w:val="24"/>
          <w:shd w:val="clear" w:color="auto" w:fill="FFFFFF"/>
        </w:rPr>
      </w:pPr>
    </w:p>
    <w:p w14:paraId="54571277" w14:textId="77777777" w:rsidR="005539AF" w:rsidRDefault="005539AF" w:rsidP="00625F4B">
      <w:pPr>
        <w:spacing w:after="20"/>
        <w:jc w:val="left"/>
        <w:rPr>
          <w:color w:val="000000"/>
          <w:szCs w:val="24"/>
          <w:shd w:val="clear" w:color="auto" w:fill="FFFFFF"/>
        </w:rPr>
      </w:pPr>
    </w:p>
    <w:p w14:paraId="2B6C3A0C" w14:textId="77777777" w:rsidR="005539AF" w:rsidRDefault="005539AF" w:rsidP="00625F4B">
      <w:pPr>
        <w:spacing w:after="20"/>
        <w:jc w:val="left"/>
        <w:rPr>
          <w:color w:val="000000"/>
          <w:szCs w:val="24"/>
          <w:shd w:val="clear" w:color="auto" w:fill="FFFFFF"/>
        </w:rPr>
      </w:pPr>
    </w:p>
    <w:p w14:paraId="71FB9787" w14:textId="77777777" w:rsidR="005539AF" w:rsidRDefault="005539AF" w:rsidP="00625F4B">
      <w:pPr>
        <w:spacing w:after="20"/>
        <w:jc w:val="left"/>
        <w:rPr>
          <w:color w:val="000000"/>
          <w:szCs w:val="24"/>
          <w:shd w:val="clear" w:color="auto" w:fill="FFFFFF"/>
        </w:rPr>
      </w:pPr>
    </w:p>
    <w:p w14:paraId="5BF10695" w14:textId="77777777" w:rsidR="005539AF" w:rsidRDefault="005539AF" w:rsidP="00625F4B">
      <w:pPr>
        <w:spacing w:after="20"/>
        <w:jc w:val="left"/>
        <w:rPr>
          <w:color w:val="000000"/>
          <w:szCs w:val="24"/>
          <w:shd w:val="clear" w:color="auto" w:fill="FFFFFF"/>
        </w:rPr>
      </w:pPr>
    </w:p>
    <w:p w14:paraId="48967BBD" w14:textId="77777777" w:rsidR="005539AF" w:rsidRDefault="005539AF" w:rsidP="00625F4B">
      <w:pPr>
        <w:spacing w:after="20"/>
        <w:jc w:val="left"/>
        <w:rPr>
          <w:color w:val="000000"/>
          <w:szCs w:val="24"/>
          <w:shd w:val="clear" w:color="auto" w:fill="FFFFFF"/>
        </w:rPr>
      </w:pPr>
    </w:p>
    <w:p w14:paraId="5015D3EE" w14:textId="77777777" w:rsidR="005539AF" w:rsidRDefault="005539AF" w:rsidP="00625F4B">
      <w:pPr>
        <w:spacing w:after="20"/>
        <w:jc w:val="left"/>
        <w:rPr>
          <w:color w:val="000000"/>
          <w:szCs w:val="24"/>
          <w:shd w:val="clear" w:color="auto" w:fill="FFFFFF"/>
        </w:rPr>
      </w:pPr>
    </w:p>
    <w:p w14:paraId="70703C3B" w14:textId="77777777" w:rsidR="005539AF" w:rsidRDefault="005539AF" w:rsidP="00625F4B">
      <w:pPr>
        <w:spacing w:after="20"/>
        <w:jc w:val="left"/>
        <w:rPr>
          <w:color w:val="000000"/>
          <w:szCs w:val="24"/>
          <w:shd w:val="clear" w:color="auto" w:fill="FFFFFF"/>
        </w:rPr>
      </w:pPr>
    </w:p>
    <w:p w14:paraId="1CC39D6B" w14:textId="77777777" w:rsidR="005539AF" w:rsidRDefault="005539AF" w:rsidP="00625F4B">
      <w:pPr>
        <w:spacing w:after="20"/>
        <w:jc w:val="left"/>
        <w:rPr>
          <w:color w:val="000000"/>
          <w:szCs w:val="24"/>
          <w:shd w:val="clear" w:color="auto" w:fill="FFFFFF"/>
        </w:rPr>
      </w:pPr>
    </w:p>
    <w:p w14:paraId="177AE0A0" w14:textId="77777777" w:rsidR="005539AF" w:rsidRDefault="005539AF" w:rsidP="00625F4B">
      <w:pPr>
        <w:spacing w:after="20"/>
        <w:jc w:val="left"/>
        <w:rPr>
          <w:color w:val="000000"/>
          <w:szCs w:val="24"/>
          <w:shd w:val="clear" w:color="auto" w:fill="FFFFFF"/>
        </w:rPr>
      </w:pPr>
    </w:p>
    <w:p w14:paraId="600809ED" w14:textId="77777777" w:rsidR="005539AF" w:rsidRDefault="005539AF" w:rsidP="00625F4B">
      <w:pPr>
        <w:spacing w:after="20"/>
        <w:jc w:val="left"/>
        <w:rPr>
          <w:color w:val="000000"/>
          <w:szCs w:val="24"/>
          <w:shd w:val="clear" w:color="auto" w:fill="FFFFFF"/>
        </w:rPr>
      </w:pPr>
    </w:p>
    <w:p w14:paraId="2F71C4F5" w14:textId="77777777" w:rsidR="005539AF" w:rsidRDefault="005539AF" w:rsidP="00625F4B">
      <w:pPr>
        <w:spacing w:after="20"/>
        <w:jc w:val="left"/>
        <w:rPr>
          <w:color w:val="000000"/>
          <w:szCs w:val="24"/>
          <w:shd w:val="clear" w:color="auto" w:fill="FFFFFF"/>
        </w:rPr>
      </w:pPr>
    </w:p>
    <w:p w14:paraId="3A9DA825" w14:textId="77777777" w:rsidR="00D22C08" w:rsidRDefault="00D22C08" w:rsidP="00625F4B">
      <w:pPr>
        <w:spacing w:after="20"/>
        <w:jc w:val="left"/>
        <w:rPr>
          <w:color w:val="000000"/>
          <w:szCs w:val="24"/>
          <w:shd w:val="clear" w:color="auto" w:fill="FFFFFF"/>
        </w:rPr>
      </w:pPr>
    </w:p>
    <w:p w14:paraId="4D4875AC" w14:textId="77777777" w:rsidR="00D22C08" w:rsidRDefault="00D22C08" w:rsidP="00625F4B">
      <w:pPr>
        <w:spacing w:after="20"/>
        <w:jc w:val="left"/>
        <w:rPr>
          <w:color w:val="000000"/>
          <w:szCs w:val="24"/>
          <w:shd w:val="clear" w:color="auto" w:fill="FFFFFF"/>
        </w:rPr>
      </w:pPr>
    </w:p>
    <w:p w14:paraId="6FD72657" w14:textId="77777777" w:rsidR="005539AF" w:rsidRDefault="005539AF" w:rsidP="00625F4B">
      <w:pPr>
        <w:spacing w:after="20"/>
        <w:jc w:val="left"/>
        <w:rPr>
          <w:color w:val="000000"/>
          <w:szCs w:val="24"/>
          <w:shd w:val="clear" w:color="auto" w:fill="FFFFFF"/>
        </w:rPr>
      </w:pPr>
    </w:p>
    <w:p w14:paraId="2BE6D629" w14:textId="77777777" w:rsidR="005539AF" w:rsidRDefault="005539AF" w:rsidP="00625F4B">
      <w:pPr>
        <w:spacing w:after="20"/>
        <w:jc w:val="left"/>
        <w:rPr>
          <w:color w:val="000000"/>
          <w:szCs w:val="24"/>
          <w:shd w:val="clear" w:color="auto" w:fill="FFFFFF"/>
        </w:rPr>
      </w:pPr>
    </w:p>
    <w:p w14:paraId="51B2B4CA" w14:textId="77777777" w:rsidR="005539AF" w:rsidRDefault="005539AF" w:rsidP="00625F4B">
      <w:pPr>
        <w:spacing w:after="20"/>
        <w:jc w:val="left"/>
        <w:rPr>
          <w:color w:val="000000"/>
          <w:szCs w:val="24"/>
          <w:shd w:val="clear" w:color="auto" w:fill="FFFFFF"/>
        </w:rPr>
      </w:pPr>
    </w:p>
    <w:p w14:paraId="4FCE97AD" w14:textId="77777777" w:rsidR="005539AF" w:rsidRDefault="005539AF" w:rsidP="00625F4B">
      <w:pPr>
        <w:spacing w:after="20"/>
        <w:jc w:val="left"/>
        <w:rPr>
          <w:color w:val="000000"/>
          <w:szCs w:val="24"/>
          <w:shd w:val="clear" w:color="auto" w:fill="FFFFFF"/>
        </w:rPr>
      </w:pPr>
    </w:p>
    <w:p w14:paraId="439DB013" w14:textId="7615D2CA" w:rsidR="000D224F" w:rsidRPr="00BE739C" w:rsidRDefault="000D224F" w:rsidP="00625F4B">
      <w:pPr>
        <w:pStyle w:val="Nadpis1"/>
        <w:spacing w:after="20"/>
        <w:rPr>
          <w:shd w:val="clear" w:color="auto" w:fill="FFFFFF"/>
        </w:rPr>
      </w:pPr>
      <w:bookmarkStart w:id="26" w:name="_Toc281822802"/>
      <w:r w:rsidRPr="00BE739C">
        <w:rPr>
          <w:shd w:val="clear" w:color="auto" w:fill="FFFFFF"/>
        </w:rPr>
        <w:t>Závěr</w:t>
      </w:r>
      <w:r w:rsidR="0056042A">
        <w:rPr>
          <w:shd w:val="clear" w:color="auto" w:fill="FFFFFF"/>
        </w:rPr>
        <w:t xml:space="preserve"> a doporučení</w:t>
      </w:r>
      <w:bookmarkEnd w:id="26"/>
    </w:p>
    <w:p w14:paraId="137895C8" w14:textId="77777777" w:rsidR="00495729" w:rsidRDefault="00495729" w:rsidP="00625F4B">
      <w:pPr>
        <w:spacing w:after="20"/>
        <w:rPr>
          <w:b/>
          <w:szCs w:val="24"/>
          <w:shd w:val="clear" w:color="auto" w:fill="FFFFFF"/>
        </w:rPr>
      </w:pPr>
    </w:p>
    <w:p w14:paraId="06FA6D15" w14:textId="3491BDB8" w:rsidR="005E6510" w:rsidRPr="005E6510" w:rsidRDefault="00495729" w:rsidP="005E6510">
      <w:pPr>
        <w:spacing w:after="20"/>
        <w:rPr>
          <w:szCs w:val="24"/>
        </w:rPr>
      </w:pPr>
      <w:r w:rsidRPr="00DA65E6">
        <w:rPr>
          <w:szCs w:val="24"/>
        </w:rPr>
        <w:t>Tato sem</w:t>
      </w:r>
      <w:r w:rsidR="005E6510">
        <w:rPr>
          <w:szCs w:val="24"/>
        </w:rPr>
        <w:t>inární práce se zabývá ekonomickým vývojem</w:t>
      </w:r>
      <w:r w:rsidRPr="00DA65E6">
        <w:rPr>
          <w:szCs w:val="24"/>
        </w:rPr>
        <w:t xml:space="preserve"> v České republice a Polsku.</w:t>
      </w:r>
      <w:r w:rsidRPr="0056042A">
        <w:rPr>
          <w:szCs w:val="24"/>
        </w:rPr>
        <w:t xml:space="preserve"> </w:t>
      </w:r>
      <w:r w:rsidR="005E6510">
        <w:rPr>
          <w:szCs w:val="24"/>
        </w:rPr>
        <w:t>Za cíl si</w:t>
      </w:r>
      <w:r w:rsidR="0056042A">
        <w:rPr>
          <w:szCs w:val="24"/>
        </w:rPr>
        <w:t xml:space="preserve"> kladla zhodnocení ekonomického vývoje v oblasti zaměstnanosti a nezaměstnanosti</w:t>
      </w:r>
      <w:r w:rsidR="005E6510">
        <w:rPr>
          <w:szCs w:val="24"/>
        </w:rPr>
        <w:t xml:space="preserve"> ve vztahu k makroekonomickým a strukturálním </w:t>
      </w:r>
      <w:r w:rsidR="00A876FF">
        <w:rPr>
          <w:szCs w:val="24"/>
        </w:rPr>
        <w:t>ukazatelů</w:t>
      </w:r>
      <w:r w:rsidR="005E6510">
        <w:rPr>
          <w:szCs w:val="24"/>
        </w:rPr>
        <w:t>m.</w:t>
      </w:r>
    </w:p>
    <w:p w14:paraId="766CEF58" w14:textId="77777777" w:rsidR="005E6510" w:rsidRDefault="00495729" w:rsidP="00625F4B">
      <w:pPr>
        <w:spacing w:after="20"/>
        <w:rPr>
          <w:szCs w:val="24"/>
        </w:rPr>
      </w:pPr>
      <w:r>
        <w:rPr>
          <w:szCs w:val="24"/>
        </w:rPr>
        <w:t>V teoretické části vidíme srovnání obou vybraných zemí v</w:t>
      </w:r>
      <w:r w:rsidR="0056042A">
        <w:rPr>
          <w:szCs w:val="24"/>
        </w:rPr>
        <w:t> </w:t>
      </w:r>
      <w:r>
        <w:rPr>
          <w:szCs w:val="24"/>
        </w:rPr>
        <w:t>rámci</w:t>
      </w:r>
      <w:r w:rsidR="0056042A">
        <w:rPr>
          <w:szCs w:val="24"/>
        </w:rPr>
        <w:t xml:space="preserve"> ukazatelů</w:t>
      </w:r>
      <w:r>
        <w:rPr>
          <w:szCs w:val="24"/>
        </w:rPr>
        <w:t xml:space="preserve"> Evropa 2020. </w:t>
      </w:r>
      <w:r w:rsidR="005E6510">
        <w:rPr>
          <w:szCs w:val="24"/>
        </w:rPr>
        <w:t xml:space="preserve">Polsko si v rámci cíle Evropa 2020 stanovuje stejné či vyšší cíle než Česká republika, avšak u zaměstnanosti si stanovilo cíl o 4% nižší oproti 75% České republiky, a to do roku 2020.  </w:t>
      </w:r>
      <w:r>
        <w:rPr>
          <w:szCs w:val="24"/>
        </w:rPr>
        <w:t xml:space="preserve">Dále práce vysvětluje základní ekonomické pojmy, které jsou v práci následně použity. </w:t>
      </w:r>
    </w:p>
    <w:p w14:paraId="1416DB12" w14:textId="31194630" w:rsidR="00442D79" w:rsidRDefault="005E6510" w:rsidP="00625F4B">
      <w:pPr>
        <w:spacing w:after="20"/>
        <w:rPr>
          <w:szCs w:val="24"/>
        </w:rPr>
      </w:pPr>
      <w:r>
        <w:rPr>
          <w:szCs w:val="24"/>
        </w:rPr>
        <w:t xml:space="preserve">V obou zemích </w:t>
      </w:r>
      <w:r w:rsidR="0071561D">
        <w:rPr>
          <w:szCs w:val="24"/>
        </w:rPr>
        <w:t>klesá</w:t>
      </w:r>
      <w:r>
        <w:rPr>
          <w:szCs w:val="24"/>
        </w:rPr>
        <w:t xml:space="preserve"> porodnost</w:t>
      </w:r>
      <w:r w:rsidR="0071561D">
        <w:rPr>
          <w:szCs w:val="24"/>
        </w:rPr>
        <w:t xml:space="preserve"> a zároveň obecně stoupá délka života obyvatelstva. Tyto 2 faktory vedou k rychlému stárnutí populace a proto je velmi důležité v obou zemíc</w:t>
      </w:r>
      <w:r w:rsidR="00A876FF">
        <w:rPr>
          <w:szCs w:val="24"/>
        </w:rPr>
        <w:t>h zvýšit produktivitu práce a zlepšit</w:t>
      </w:r>
      <w:r w:rsidR="0071561D">
        <w:rPr>
          <w:szCs w:val="24"/>
        </w:rPr>
        <w:t xml:space="preserve"> míru zaměstnanosti k udržení dosavadní, popřípadě vyšší životní úrovně.</w:t>
      </w:r>
      <w:r>
        <w:rPr>
          <w:szCs w:val="24"/>
        </w:rPr>
        <w:t xml:space="preserve"> Světová banka uvádí (2014), že práce je klíčová pro zvyšování sociální úrovně, produktivity a sociální soudržnosti.</w:t>
      </w:r>
    </w:p>
    <w:p w14:paraId="4BDF0AF8" w14:textId="77777777" w:rsidR="0071561D" w:rsidRPr="00BE739C" w:rsidRDefault="0071561D" w:rsidP="00625F4B">
      <w:pPr>
        <w:spacing w:after="20"/>
        <w:rPr>
          <w:szCs w:val="24"/>
        </w:rPr>
      </w:pPr>
      <w:r>
        <w:rPr>
          <w:szCs w:val="24"/>
        </w:rPr>
        <w:t>V praktické části je srovnání zaměřeno na Česko a Polsko</w:t>
      </w:r>
      <w:r w:rsidR="00DA65E6">
        <w:rPr>
          <w:szCs w:val="24"/>
        </w:rPr>
        <w:t>,</w:t>
      </w:r>
      <w:r>
        <w:rPr>
          <w:szCs w:val="24"/>
        </w:rPr>
        <w:t xml:space="preserve"> z počátku na základní makroekonomické ukazatele a následně podrobněji na zaměstnanost a nezaměstnanost. </w:t>
      </w:r>
    </w:p>
    <w:p w14:paraId="46B4A63B" w14:textId="04119A43" w:rsidR="006C7F5A" w:rsidRDefault="0071561D" w:rsidP="00625F4B">
      <w:pPr>
        <w:spacing w:after="20"/>
        <w:rPr>
          <w:szCs w:val="24"/>
        </w:rPr>
      </w:pPr>
      <w:r>
        <w:rPr>
          <w:szCs w:val="24"/>
        </w:rPr>
        <w:t xml:space="preserve">Výsledky základních makroekonomických ukazatelů indikují, že Polsko si oproti ČR stojí s tempem růstu reálného HDP mnohem lépe než ČR i přes to, že ČR se „zuby nehty“ drží evropského průměru. Naopak míra inflace má lepší výsledky pro ČR a </w:t>
      </w:r>
      <w:r w:rsidR="00DA65E6">
        <w:rPr>
          <w:szCs w:val="24"/>
        </w:rPr>
        <w:t>t</w:t>
      </w:r>
      <w:r w:rsidR="00AA19FC">
        <w:rPr>
          <w:szCs w:val="24"/>
        </w:rPr>
        <w:t>o skoro</w:t>
      </w:r>
      <w:r w:rsidR="00DA65E6">
        <w:rPr>
          <w:szCs w:val="24"/>
        </w:rPr>
        <w:t xml:space="preserve"> </w:t>
      </w:r>
      <w:r w:rsidR="00AA19FC">
        <w:rPr>
          <w:szCs w:val="24"/>
        </w:rPr>
        <w:t xml:space="preserve">1,3% v průměru. Co se týká nezaměstnanosti, zde má ve všech ohledech lepší výsledky ČR. Průměrně si vede Česká republika o 2,7% lépe, v míře nezaměstnanosti, než Polsko. Pokud se podíváme na výsledky nezaměstnanosti ženy X muži, tak obecně jsou na tom lépe muži. Stejně tak u výsledku porovnávajícího míru nezaměstnanosti podle </w:t>
      </w:r>
      <w:r w:rsidR="000C054F">
        <w:rPr>
          <w:szCs w:val="24"/>
        </w:rPr>
        <w:t>věku, a to 15 až 24let X 25 až 7</w:t>
      </w:r>
      <w:r w:rsidR="00AA19FC">
        <w:rPr>
          <w:szCs w:val="24"/>
        </w:rPr>
        <w:t>4 let, mají lepší výsledk</w:t>
      </w:r>
      <w:r w:rsidR="000C054F">
        <w:rPr>
          <w:szCs w:val="24"/>
        </w:rPr>
        <w:t>y starší pracující, tedy 25 až 7</w:t>
      </w:r>
      <w:r w:rsidR="00AA19FC">
        <w:rPr>
          <w:szCs w:val="24"/>
        </w:rPr>
        <w:t xml:space="preserve">4 let. Této skutečnosti odpovídá i nynější situace na pracovním trhu v ČR, kdy studenti či absolventi škol mají velký problém získat pracovní místo. Pro informaci, autorka využila jako poslední </w:t>
      </w:r>
      <w:r w:rsidR="00DA65E6">
        <w:rPr>
          <w:szCs w:val="24"/>
        </w:rPr>
        <w:t xml:space="preserve">prvního bloku </w:t>
      </w:r>
      <w:r w:rsidR="00AA19FC">
        <w:rPr>
          <w:szCs w:val="24"/>
        </w:rPr>
        <w:t>srovnání</w:t>
      </w:r>
      <w:r w:rsidR="00DA65E6">
        <w:rPr>
          <w:szCs w:val="24"/>
        </w:rPr>
        <w:t xml:space="preserve"> </w:t>
      </w:r>
      <w:r w:rsidR="00AA19FC">
        <w:rPr>
          <w:szCs w:val="24"/>
        </w:rPr>
        <w:t xml:space="preserve">státní </w:t>
      </w:r>
      <w:r w:rsidR="00DA65E6">
        <w:rPr>
          <w:szCs w:val="24"/>
        </w:rPr>
        <w:t xml:space="preserve">dluh ČR, </w:t>
      </w:r>
      <w:r w:rsidR="00AA19FC">
        <w:rPr>
          <w:szCs w:val="24"/>
        </w:rPr>
        <w:t>Polska</w:t>
      </w:r>
      <w:r w:rsidR="00DA65E6">
        <w:rPr>
          <w:szCs w:val="24"/>
        </w:rPr>
        <w:t xml:space="preserve"> a EU (28). Fakt, že má </w:t>
      </w:r>
      <w:r w:rsidR="00351FA6">
        <w:rPr>
          <w:szCs w:val="24"/>
        </w:rPr>
        <w:t>Česká republika skoro</w:t>
      </w:r>
      <w:r w:rsidR="00DA65E6">
        <w:rPr>
          <w:szCs w:val="24"/>
        </w:rPr>
        <w:t xml:space="preserve"> dvojnásobně menší zadlužení</w:t>
      </w:r>
      <w:r w:rsidR="00AA19FC">
        <w:rPr>
          <w:szCs w:val="24"/>
        </w:rPr>
        <w:t>, oproti průmě</w:t>
      </w:r>
      <w:r w:rsidR="00DA65E6">
        <w:rPr>
          <w:szCs w:val="24"/>
        </w:rPr>
        <w:t>rům</w:t>
      </w:r>
      <w:r w:rsidR="00816712">
        <w:rPr>
          <w:szCs w:val="24"/>
        </w:rPr>
        <w:t xml:space="preserve"> EU (28) je velmi zajímavý. Samozřejmě to neznamená, že by dluh nestoupal. Stále mírně stoupá i když rozdíl mezi rokem 2012 a 2013, kdy byl růst o 0,2%, je částečně přijatelný oproti vzrůstu EU (28) o 1,9%</w:t>
      </w:r>
      <w:r w:rsidR="00DA65E6">
        <w:rPr>
          <w:szCs w:val="24"/>
        </w:rPr>
        <w:t>, ve stejném roce</w:t>
      </w:r>
      <w:r w:rsidR="00816712">
        <w:rPr>
          <w:szCs w:val="24"/>
        </w:rPr>
        <w:t xml:space="preserve">. </w:t>
      </w:r>
    </w:p>
    <w:p w14:paraId="2AFE1BAD" w14:textId="77777777" w:rsidR="00A3530B" w:rsidRDefault="00816712" w:rsidP="00A3530B">
      <w:pPr>
        <w:spacing w:after="20"/>
        <w:rPr>
          <w:szCs w:val="24"/>
        </w:rPr>
      </w:pPr>
      <w:r>
        <w:rPr>
          <w:szCs w:val="24"/>
        </w:rPr>
        <w:t xml:space="preserve">Na závěr lze konstatovat, že si Česká republika vede lépe než Polsko, a to u většiny makroekonomických ukazatelů i ukazatelů zaměstnanosti a nezaměstnanosti. I produktivita práce je v České republice vyšší, než v Polsku. Dle názoru autorky bude v budoucnosti rozhodující faktor produktivita práce, kde si Česká republika stojí docela obstojně, ale Polsko by tuto oblast mělo zlepšit. </w:t>
      </w:r>
    </w:p>
    <w:p w14:paraId="0D30FBDA" w14:textId="71787624" w:rsidR="00A3530B" w:rsidRDefault="006E0A10" w:rsidP="00A3530B">
      <w:pPr>
        <w:spacing w:after="20"/>
        <w:rPr>
          <w:szCs w:val="24"/>
        </w:rPr>
      </w:pPr>
      <w:r>
        <w:rPr>
          <w:szCs w:val="24"/>
        </w:rPr>
        <w:t>Jedním z</w:t>
      </w:r>
      <w:r w:rsidRPr="006E0A10">
        <w:rPr>
          <w:szCs w:val="24"/>
        </w:rPr>
        <w:t xml:space="preserve"> faktorů</w:t>
      </w:r>
      <w:r>
        <w:rPr>
          <w:szCs w:val="24"/>
        </w:rPr>
        <w:t xml:space="preserve"> na</w:t>
      </w:r>
      <w:r w:rsidRPr="006E0A10">
        <w:rPr>
          <w:szCs w:val="24"/>
        </w:rPr>
        <w:t xml:space="preserve"> které</w:t>
      </w:r>
      <w:r>
        <w:rPr>
          <w:szCs w:val="24"/>
        </w:rPr>
        <w:t>,</w:t>
      </w:r>
      <w:r w:rsidRPr="006E0A10">
        <w:rPr>
          <w:szCs w:val="24"/>
        </w:rPr>
        <w:t xml:space="preserve"> by se m</w:t>
      </w:r>
      <w:r w:rsidR="00A3530B">
        <w:rPr>
          <w:szCs w:val="24"/>
        </w:rPr>
        <w:t>ěla</w:t>
      </w:r>
      <w:r>
        <w:rPr>
          <w:szCs w:val="24"/>
        </w:rPr>
        <w:t xml:space="preserve"> Česká </w:t>
      </w:r>
      <w:r w:rsidRPr="006E0A10">
        <w:rPr>
          <w:szCs w:val="24"/>
        </w:rPr>
        <w:t>republika zam</w:t>
      </w:r>
      <w:r>
        <w:rPr>
          <w:szCs w:val="24"/>
        </w:rPr>
        <w:t>ěřit</w:t>
      </w:r>
      <w:r w:rsidR="00A3530B">
        <w:rPr>
          <w:szCs w:val="24"/>
        </w:rPr>
        <w:t>, pro vylepšení své situace</w:t>
      </w:r>
      <w:r>
        <w:rPr>
          <w:szCs w:val="24"/>
        </w:rPr>
        <w:t>, může být</w:t>
      </w:r>
      <w:r w:rsidRPr="006E0A10">
        <w:rPr>
          <w:szCs w:val="24"/>
        </w:rPr>
        <w:t xml:space="preserve"> export. </w:t>
      </w:r>
      <w:r>
        <w:rPr>
          <w:szCs w:val="24"/>
        </w:rPr>
        <w:t>ČR má silnou</w:t>
      </w:r>
      <w:r w:rsidRPr="006E0A10">
        <w:rPr>
          <w:szCs w:val="24"/>
        </w:rPr>
        <w:t xml:space="preserve"> pr</w:t>
      </w:r>
      <w:r w:rsidR="00A3530B">
        <w:rPr>
          <w:szCs w:val="24"/>
        </w:rPr>
        <w:t>ůmyslovou výrobu a tím je</w:t>
      </w:r>
      <w:r w:rsidRPr="006E0A10">
        <w:rPr>
          <w:szCs w:val="24"/>
        </w:rPr>
        <w:t xml:space="preserve"> p</w:t>
      </w:r>
      <w:r>
        <w:rPr>
          <w:szCs w:val="24"/>
        </w:rPr>
        <w:t>ředevším vývoz</w:t>
      </w:r>
      <w:r w:rsidRPr="006E0A10">
        <w:rPr>
          <w:szCs w:val="24"/>
        </w:rPr>
        <w:t xml:space="preserve"> automobil</w:t>
      </w:r>
      <w:r w:rsidR="00A3530B">
        <w:rPr>
          <w:szCs w:val="24"/>
        </w:rPr>
        <w:t>ů a</w:t>
      </w:r>
      <w:r>
        <w:rPr>
          <w:szCs w:val="24"/>
        </w:rPr>
        <w:t xml:space="preserve"> </w:t>
      </w:r>
      <w:r w:rsidRPr="006E0A10">
        <w:rPr>
          <w:szCs w:val="24"/>
        </w:rPr>
        <w:t>strojírenských výrobk</w:t>
      </w:r>
      <w:r>
        <w:rPr>
          <w:szCs w:val="24"/>
        </w:rPr>
        <w:t>ů. Pokud by se podařilo posílit export</w:t>
      </w:r>
      <w:r w:rsidRPr="006E0A10">
        <w:rPr>
          <w:szCs w:val="24"/>
        </w:rPr>
        <w:t xml:space="preserve"> t</w:t>
      </w:r>
      <w:r>
        <w:rPr>
          <w:szCs w:val="24"/>
        </w:rPr>
        <w:t>ěchto vý</w:t>
      </w:r>
      <w:r w:rsidRPr="006E0A10">
        <w:rPr>
          <w:szCs w:val="24"/>
        </w:rPr>
        <w:t>robků do zahrani</w:t>
      </w:r>
      <w:r>
        <w:rPr>
          <w:szCs w:val="24"/>
        </w:rPr>
        <w:t>čí, tak by tato skutečnost pozitivně ovlivnila několik</w:t>
      </w:r>
      <w:r w:rsidR="00A3530B">
        <w:rPr>
          <w:szCs w:val="24"/>
        </w:rPr>
        <w:t xml:space="preserve"> ekonomických</w:t>
      </w:r>
      <w:r>
        <w:rPr>
          <w:szCs w:val="24"/>
        </w:rPr>
        <w:t xml:space="preserve"> ukazatelů. </w:t>
      </w:r>
    </w:p>
    <w:p w14:paraId="5B918F72" w14:textId="2B3A9E62" w:rsidR="006E0A10" w:rsidRPr="006E0A10" w:rsidRDefault="006E0A10" w:rsidP="00A3530B">
      <w:pPr>
        <w:spacing w:after="20"/>
        <w:rPr>
          <w:szCs w:val="24"/>
        </w:rPr>
      </w:pPr>
      <w:r>
        <w:rPr>
          <w:szCs w:val="24"/>
        </w:rPr>
        <w:t>Polsko by se mělo více zaměřit na turistiku a prezentaci svéh</w:t>
      </w:r>
      <w:r w:rsidR="00A3530B">
        <w:rPr>
          <w:szCs w:val="24"/>
        </w:rPr>
        <w:t xml:space="preserve">o státu ve světě. Pokud do Polska začne jezdit více turistů, bude více pracovních míst v gastronomii a cestovním ruchu a zde by měli studenti a absolventi škol, najít uplatnění. Turisti do zemí po celém světě navíc přináší vždy velké množství peněz a tato skutečnost by vedla k lepších hospodářských výsledkům Polska. S příchodem turistů by doházelo k většímu toku peněž a posílení polské ekonomiky. </w:t>
      </w:r>
    </w:p>
    <w:p w14:paraId="1B5A12FB" w14:textId="77777777" w:rsidR="00816712" w:rsidRDefault="00816712" w:rsidP="00625F4B">
      <w:pPr>
        <w:spacing w:after="20"/>
        <w:rPr>
          <w:szCs w:val="24"/>
        </w:rPr>
      </w:pPr>
    </w:p>
    <w:p w14:paraId="6996F016" w14:textId="77777777" w:rsidR="006C7F5A" w:rsidRDefault="006C7F5A" w:rsidP="00625F4B">
      <w:pPr>
        <w:spacing w:after="20"/>
        <w:rPr>
          <w:szCs w:val="24"/>
        </w:rPr>
      </w:pPr>
    </w:p>
    <w:p w14:paraId="5E857214" w14:textId="77777777" w:rsidR="006C7F5A" w:rsidRDefault="006C7F5A" w:rsidP="00625F4B">
      <w:pPr>
        <w:spacing w:after="20"/>
        <w:rPr>
          <w:szCs w:val="24"/>
        </w:rPr>
      </w:pPr>
    </w:p>
    <w:p w14:paraId="40764D4C" w14:textId="77777777" w:rsidR="006C7F5A" w:rsidRDefault="006C7F5A" w:rsidP="00625F4B">
      <w:pPr>
        <w:spacing w:after="20"/>
        <w:rPr>
          <w:szCs w:val="24"/>
        </w:rPr>
      </w:pPr>
    </w:p>
    <w:p w14:paraId="158022E5" w14:textId="77777777" w:rsidR="006C7F5A" w:rsidRDefault="006C7F5A" w:rsidP="00625F4B">
      <w:pPr>
        <w:spacing w:after="20"/>
        <w:rPr>
          <w:szCs w:val="24"/>
        </w:rPr>
      </w:pPr>
    </w:p>
    <w:p w14:paraId="6FC76D33" w14:textId="77777777" w:rsidR="006C7F5A" w:rsidRDefault="006C7F5A" w:rsidP="00625F4B">
      <w:pPr>
        <w:spacing w:after="20"/>
        <w:rPr>
          <w:szCs w:val="24"/>
        </w:rPr>
      </w:pPr>
    </w:p>
    <w:p w14:paraId="50B53EB4" w14:textId="77777777" w:rsidR="006C7F5A" w:rsidRDefault="006C7F5A" w:rsidP="00625F4B">
      <w:pPr>
        <w:spacing w:after="20"/>
        <w:rPr>
          <w:szCs w:val="24"/>
        </w:rPr>
      </w:pPr>
    </w:p>
    <w:p w14:paraId="54335EEC" w14:textId="77777777" w:rsidR="006C7F5A" w:rsidRDefault="006C7F5A" w:rsidP="00625F4B">
      <w:pPr>
        <w:spacing w:after="20"/>
        <w:rPr>
          <w:szCs w:val="24"/>
        </w:rPr>
      </w:pPr>
    </w:p>
    <w:p w14:paraId="51CD7447" w14:textId="77777777" w:rsidR="006C7F5A" w:rsidRDefault="006C7F5A" w:rsidP="00625F4B">
      <w:pPr>
        <w:spacing w:after="20"/>
        <w:rPr>
          <w:szCs w:val="24"/>
        </w:rPr>
      </w:pPr>
    </w:p>
    <w:p w14:paraId="51F29AE3" w14:textId="77777777" w:rsidR="006C7F5A" w:rsidRDefault="006C7F5A" w:rsidP="00625F4B">
      <w:pPr>
        <w:spacing w:after="20"/>
        <w:rPr>
          <w:szCs w:val="24"/>
        </w:rPr>
      </w:pPr>
    </w:p>
    <w:p w14:paraId="632CE129" w14:textId="77777777" w:rsidR="006C7F5A" w:rsidRDefault="006C7F5A" w:rsidP="00625F4B">
      <w:pPr>
        <w:spacing w:after="20"/>
        <w:rPr>
          <w:szCs w:val="24"/>
        </w:rPr>
      </w:pPr>
    </w:p>
    <w:p w14:paraId="4BC6D4E9" w14:textId="77777777" w:rsidR="009A3FE8" w:rsidRDefault="009A3FE8" w:rsidP="00625F4B">
      <w:pPr>
        <w:spacing w:after="20"/>
        <w:rPr>
          <w:szCs w:val="24"/>
        </w:rPr>
      </w:pPr>
    </w:p>
    <w:p w14:paraId="25E2C184" w14:textId="77777777" w:rsidR="009A3FE8" w:rsidRDefault="009A3FE8" w:rsidP="00625F4B">
      <w:pPr>
        <w:spacing w:after="20"/>
        <w:rPr>
          <w:szCs w:val="24"/>
        </w:rPr>
      </w:pPr>
    </w:p>
    <w:p w14:paraId="0726BAC0" w14:textId="77777777" w:rsidR="009A3FE8" w:rsidRDefault="009A3FE8" w:rsidP="00625F4B">
      <w:pPr>
        <w:spacing w:after="20"/>
        <w:rPr>
          <w:szCs w:val="24"/>
        </w:rPr>
      </w:pPr>
    </w:p>
    <w:p w14:paraId="73D70A66" w14:textId="77777777" w:rsidR="000D224F" w:rsidRDefault="000D224F" w:rsidP="00625F4B">
      <w:pPr>
        <w:spacing w:after="20"/>
        <w:rPr>
          <w:szCs w:val="24"/>
        </w:rPr>
      </w:pPr>
    </w:p>
    <w:p w14:paraId="31A67DD9" w14:textId="77777777" w:rsidR="00A876FF" w:rsidRDefault="00A876FF" w:rsidP="00625F4B">
      <w:pPr>
        <w:spacing w:after="20"/>
        <w:rPr>
          <w:szCs w:val="24"/>
        </w:rPr>
      </w:pPr>
    </w:p>
    <w:p w14:paraId="5B36C293" w14:textId="77777777" w:rsidR="00A876FF" w:rsidRDefault="00A876FF" w:rsidP="00625F4B">
      <w:pPr>
        <w:spacing w:after="20"/>
        <w:rPr>
          <w:szCs w:val="24"/>
        </w:rPr>
      </w:pPr>
    </w:p>
    <w:p w14:paraId="5ED36BF3" w14:textId="77777777" w:rsidR="00A876FF" w:rsidRDefault="00A876FF" w:rsidP="00625F4B">
      <w:pPr>
        <w:spacing w:after="20"/>
        <w:rPr>
          <w:szCs w:val="24"/>
        </w:rPr>
      </w:pPr>
    </w:p>
    <w:p w14:paraId="6FE12E5A" w14:textId="77777777" w:rsidR="00A876FF" w:rsidRDefault="00A876FF" w:rsidP="00625F4B">
      <w:pPr>
        <w:spacing w:after="20"/>
        <w:rPr>
          <w:szCs w:val="24"/>
        </w:rPr>
      </w:pPr>
    </w:p>
    <w:p w14:paraId="2CBC342C" w14:textId="77777777" w:rsidR="00A876FF" w:rsidRDefault="00A876FF" w:rsidP="00625F4B">
      <w:pPr>
        <w:spacing w:after="20"/>
        <w:rPr>
          <w:szCs w:val="24"/>
        </w:rPr>
      </w:pPr>
    </w:p>
    <w:p w14:paraId="4B2A5107" w14:textId="77777777" w:rsidR="00A876FF" w:rsidRDefault="00A876FF" w:rsidP="00625F4B">
      <w:pPr>
        <w:spacing w:after="20"/>
        <w:rPr>
          <w:szCs w:val="24"/>
        </w:rPr>
      </w:pPr>
    </w:p>
    <w:p w14:paraId="3173599A" w14:textId="77777777" w:rsidR="00A876FF" w:rsidRDefault="00A876FF" w:rsidP="00625F4B">
      <w:pPr>
        <w:spacing w:after="20"/>
        <w:rPr>
          <w:szCs w:val="24"/>
        </w:rPr>
      </w:pPr>
    </w:p>
    <w:p w14:paraId="31413D8A" w14:textId="77777777" w:rsidR="00A876FF" w:rsidRDefault="00A876FF" w:rsidP="00625F4B">
      <w:pPr>
        <w:spacing w:after="20"/>
        <w:rPr>
          <w:szCs w:val="24"/>
        </w:rPr>
      </w:pPr>
    </w:p>
    <w:p w14:paraId="2EE2B3BF" w14:textId="77777777" w:rsidR="00A876FF" w:rsidRDefault="00A876FF" w:rsidP="00625F4B">
      <w:pPr>
        <w:spacing w:after="20"/>
        <w:rPr>
          <w:szCs w:val="24"/>
        </w:rPr>
      </w:pPr>
    </w:p>
    <w:p w14:paraId="4A166D58" w14:textId="77777777" w:rsidR="00A876FF" w:rsidRDefault="00A876FF" w:rsidP="00625F4B">
      <w:pPr>
        <w:spacing w:after="20"/>
        <w:rPr>
          <w:szCs w:val="24"/>
        </w:rPr>
      </w:pPr>
    </w:p>
    <w:p w14:paraId="596DA355" w14:textId="77777777" w:rsidR="00A876FF" w:rsidRDefault="00A876FF" w:rsidP="00625F4B">
      <w:pPr>
        <w:spacing w:after="20"/>
        <w:rPr>
          <w:szCs w:val="24"/>
        </w:rPr>
      </w:pPr>
    </w:p>
    <w:p w14:paraId="5E1FCFF7" w14:textId="77777777" w:rsidR="00A876FF" w:rsidRDefault="00A876FF" w:rsidP="00625F4B">
      <w:pPr>
        <w:spacing w:after="20"/>
        <w:rPr>
          <w:szCs w:val="24"/>
        </w:rPr>
      </w:pPr>
    </w:p>
    <w:p w14:paraId="057A19A4" w14:textId="77777777" w:rsidR="00A876FF" w:rsidRDefault="00A876FF" w:rsidP="00625F4B">
      <w:pPr>
        <w:spacing w:after="20"/>
        <w:rPr>
          <w:szCs w:val="24"/>
        </w:rPr>
      </w:pPr>
    </w:p>
    <w:p w14:paraId="38365310" w14:textId="77777777" w:rsidR="00A876FF" w:rsidRDefault="00A876FF" w:rsidP="00625F4B">
      <w:pPr>
        <w:spacing w:after="20"/>
        <w:rPr>
          <w:szCs w:val="24"/>
        </w:rPr>
      </w:pPr>
    </w:p>
    <w:p w14:paraId="171D6648" w14:textId="77777777" w:rsidR="00A876FF" w:rsidRDefault="00A876FF" w:rsidP="00625F4B">
      <w:pPr>
        <w:spacing w:after="20"/>
        <w:rPr>
          <w:szCs w:val="24"/>
        </w:rPr>
      </w:pPr>
    </w:p>
    <w:p w14:paraId="5DE986FC" w14:textId="77777777" w:rsidR="00A876FF" w:rsidRDefault="00A876FF" w:rsidP="00625F4B">
      <w:pPr>
        <w:spacing w:after="20"/>
        <w:rPr>
          <w:szCs w:val="24"/>
        </w:rPr>
      </w:pPr>
    </w:p>
    <w:p w14:paraId="62EC5F8A" w14:textId="77777777" w:rsidR="00A876FF" w:rsidRDefault="00A876FF" w:rsidP="00625F4B">
      <w:pPr>
        <w:spacing w:after="20"/>
        <w:rPr>
          <w:szCs w:val="24"/>
        </w:rPr>
      </w:pPr>
    </w:p>
    <w:p w14:paraId="211A23DA" w14:textId="77777777" w:rsidR="00A876FF" w:rsidRDefault="00A876FF" w:rsidP="00625F4B">
      <w:pPr>
        <w:spacing w:after="20"/>
        <w:rPr>
          <w:szCs w:val="24"/>
        </w:rPr>
      </w:pPr>
    </w:p>
    <w:p w14:paraId="02DE1932" w14:textId="77777777" w:rsidR="00A876FF" w:rsidRDefault="00A876FF" w:rsidP="00625F4B">
      <w:pPr>
        <w:spacing w:after="20"/>
        <w:rPr>
          <w:szCs w:val="24"/>
        </w:rPr>
      </w:pPr>
    </w:p>
    <w:p w14:paraId="1D795315" w14:textId="77777777" w:rsidR="00A876FF" w:rsidRDefault="00A876FF" w:rsidP="00625F4B">
      <w:pPr>
        <w:spacing w:after="20"/>
        <w:rPr>
          <w:szCs w:val="24"/>
        </w:rPr>
      </w:pPr>
    </w:p>
    <w:p w14:paraId="5274FDC9" w14:textId="77777777" w:rsidR="00A876FF" w:rsidRDefault="00A876FF" w:rsidP="00625F4B">
      <w:pPr>
        <w:spacing w:after="20"/>
        <w:rPr>
          <w:szCs w:val="24"/>
        </w:rPr>
      </w:pPr>
    </w:p>
    <w:p w14:paraId="6D38D87D" w14:textId="77777777" w:rsidR="00A876FF" w:rsidRDefault="00A876FF" w:rsidP="00625F4B">
      <w:pPr>
        <w:spacing w:after="20"/>
        <w:rPr>
          <w:szCs w:val="24"/>
        </w:rPr>
      </w:pPr>
    </w:p>
    <w:p w14:paraId="38D636C3" w14:textId="77777777" w:rsidR="00A876FF" w:rsidRDefault="00A876FF" w:rsidP="00625F4B">
      <w:pPr>
        <w:spacing w:after="20"/>
        <w:rPr>
          <w:szCs w:val="24"/>
        </w:rPr>
      </w:pPr>
    </w:p>
    <w:p w14:paraId="0CFF9A5B" w14:textId="77777777" w:rsidR="00A876FF" w:rsidRDefault="00A876FF" w:rsidP="00625F4B">
      <w:pPr>
        <w:spacing w:after="20"/>
        <w:rPr>
          <w:szCs w:val="24"/>
        </w:rPr>
      </w:pPr>
    </w:p>
    <w:p w14:paraId="44D13B6C" w14:textId="77777777" w:rsidR="00A876FF" w:rsidRDefault="00A876FF" w:rsidP="00625F4B">
      <w:pPr>
        <w:spacing w:after="20"/>
        <w:rPr>
          <w:szCs w:val="24"/>
        </w:rPr>
      </w:pPr>
    </w:p>
    <w:p w14:paraId="22AEDACB" w14:textId="77777777" w:rsidR="00A876FF" w:rsidRDefault="00A876FF" w:rsidP="00625F4B">
      <w:pPr>
        <w:spacing w:after="20"/>
        <w:rPr>
          <w:szCs w:val="24"/>
        </w:rPr>
      </w:pPr>
    </w:p>
    <w:p w14:paraId="290C6BF9" w14:textId="77777777" w:rsidR="00A876FF" w:rsidRDefault="00A876FF" w:rsidP="00625F4B">
      <w:pPr>
        <w:spacing w:after="20"/>
        <w:rPr>
          <w:szCs w:val="24"/>
        </w:rPr>
      </w:pPr>
    </w:p>
    <w:p w14:paraId="1BB6E32B" w14:textId="77777777" w:rsidR="000D224F" w:rsidRPr="00030B57" w:rsidRDefault="000D224F" w:rsidP="00030B57">
      <w:pPr>
        <w:pStyle w:val="Nadpis1"/>
        <w:rPr>
          <w:rStyle w:val="Siln"/>
          <w:b/>
          <w:szCs w:val="32"/>
        </w:rPr>
      </w:pPr>
      <w:bookmarkStart w:id="27" w:name="_Toc281822803"/>
      <w:r w:rsidRPr="00030B57">
        <w:rPr>
          <w:rStyle w:val="Siln"/>
          <w:b/>
          <w:szCs w:val="32"/>
        </w:rPr>
        <w:t>Seznam použité literatury</w:t>
      </w:r>
      <w:bookmarkEnd w:id="27"/>
    </w:p>
    <w:p w14:paraId="5235A2B1" w14:textId="77777777" w:rsidR="006D012B" w:rsidRPr="00524607" w:rsidRDefault="006D012B" w:rsidP="00524607">
      <w:pPr>
        <w:spacing w:after="20"/>
        <w:rPr>
          <w:rFonts w:ascii="Arial" w:hAnsi="Arial" w:cs="Arial"/>
          <w:b/>
          <w:bCs/>
          <w:sz w:val="26"/>
          <w:szCs w:val="26"/>
          <w:lang w:val="en-US"/>
        </w:rPr>
      </w:pPr>
    </w:p>
    <w:p w14:paraId="6EAF315F" w14:textId="77777777" w:rsidR="00524607" w:rsidRDefault="00524607" w:rsidP="00B537B5">
      <w:pPr>
        <w:spacing w:after="20"/>
        <w:rPr>
          <w:szCs w:val="24"/>
        </w:rPr>
      </w:pPr>
      <w:r w:rsidRPr="00524607">
        <w:rPr>
          <w:szCs w:val="24"/>
        </w:rPr>
        <w:t xml:space="preserve">BRČÁK, Josef a Bohuslav SEKERKA. </w:t>
      </w:r>
      <w:r w:rsidRPr="00524607">
        <w:rPr>
          <w:i/>
          <w:szCs w:val="24"/>
        </w:rPr>
        <w:t>Makroekonomie.</w:t>
      </w:r>
      <w:r w:rsidRPr="00524607">
        <w:rPr>
          <w:szCs w:val="24"/>
        </w:rPr>
        <w:t xml:space="preserve"> Plzeň: Vydavatelství a nakladatelství Aleš Čeněk, 2010, 292 s. ISBN 978-80-7380-245-5.</w:t>
      </w:r>
    </w:p>
    <w:p w14:paraId="5205F7E1" w14:textId="77777777" w:rsidR="00524607" w:rsidRPr="00524607" w:rsidRDefault="00524607" w:rsidP="00B537B5">
      <w:pPr>
        <w:spacing w:after="20"/>
        <w:rPr>
          <w:szCs w:val="24"/>
        </w:rPr>
      </w:pPr>
      <w:r w:rsidRPr="00524607">
        <w:rPr>
          <w:szCs w:val="24"/>
        </w:rPr>
        <w:t>BRČÁK, Josef a Bohuslav SEKERKA. Mikroekonomie. Plzeň: Aleš Čeněk, 2010, 261 s. ISBN 978-80-7380-280-6.</w:t>
      </w:r>
    </w:p>
    <w:p w14:paraId="4A036202" w14:textId="77777777" w:rsidR="00524607" w:rsidRDefault="00B537B5" w:rsidP="00B537B5">
      <w:pPr>
        <w:spacing w:after="20"/>
        <w:rPr>
          <w:szCs w:val="24"/>
        </w:rPr>
      </w:pPr>
      <w:r w:rsidRPr="00B537B5">
        <w:rPr>
          <w:szCs w:val="24"/>
        </w:rPr>
        <w:t xml:space="preserve">KRAFT, Jiří, Pavla BEDNÁŘOVÁ a Aleš KOCOUREK. </w:t>
      </w:r>
      <w:r w:rsidRPr="00524607">
        <w:rPr>
          <w:i/>
          <w:szCs w:val="24"/>
        </w:rPr>
        <w:t xml:space="preserve">Ekonomie I. Vyd. 4., </w:t>
      </w:r>
      <w:proofErr w:type="spellStart"/>
      <w:r w:rsidRPr="00524607">
        <w:rPr>
          <w:i/>
          <w:szCs w:val="24"/>
        </w:rPr>
        <w:t>upr</w:t>
      </w:r>
      <w:proofErr w:type="spellEnd"/>
      <w:r w:rsidRPr="00524607">
        <w:rPr>
          <w:i/>
          <w:szCs w:val="24"/>
        </w:rPr>
        <w:t>.</w:t>
      </w:r>
      <w:r w:rsidRPr="00B537B5">
        <w:rPr>
          <w:szCs w:val="24"/>
        </w:rPr>
        <w:t xml:space="preserve"> Liberec: Technická univerzita v Liberci, 2009, 202 s. ISBN 978-80-7372-527-3.</w:t>
      </w:r>
    </w:p>
    <w:p w14:paraId="7ED3B672" w14:textId="77777777" w:rsidR="00B537B5" w:rsidRPr="00B537B5" w:rsidRDefault="00B537B5" w:rsidP="00B537B5">
      <w:pPr>
        <w:spacing w:after="20"/>
        <w:rPr>
          <w:szCs w:val="24"/>
        </w:rPr>
      </w:pPr>
      <w:r w:rsidRPr="00B537B5">
        <w:rPr>
          <w:szCs w:val="24"/>
        </w:rPr>
        <w:t xml:space="preserve">PAVELKA, Tomáš. </w:t>
      </w:r>
      <w:r w:rsidRPr="00524607">
        <w:rPr>
          <w:i/>
          <w:szCs w:val="24"/>
        </w:rPr>
        <w:t xml:space="preserve">Makroekonomie: základní kurz. 3., </w:t>
      </w:r>
      <w:proofErr w:type="spellStart"/>
      <w:r w:rsidRPr="00524607">
        <w:rPr>
          <w:i/>
          <w:szCs w:val="24"/>
        </w:rPr>
        <w:t>aktualiz</w:t>
      </w:r>
      <w:proofErr w:type="spellEnd"/>
      <w:r w:rsidRPr="00524607">
        <w:rPr>
          <w:i/>
          <w:szCs w:val="24"/>
        </w:rPr>
        <w:t>. vyd.</w:t>
      </w:r>
      <w:r w:rsidRPr="00B537B5">
        <w:rPr>
          <w:szCs w:val="24"/>
        </w:rPr>
        <w:t xml:space="preserve"> Praha: Vysoká škola ekonomie a managementu, 2010, 273 s. ISBN 978-80-86730-55-4.</w:t>
      </w:r>
    </w:p>
    <w:p w14:paraId="1B0B3DCF" w14:textId="77777777" w:rsidR="00B537B5" w:rsidRDefault="00B537B5" w:rsidP="00B537B5">
      <w:pPr>
        <w:spacing w:after="20"/>
        <w:rPr>
          <w:szCs w:val="24"/>
        </w:rPr>
      </w:pPr>
      <w:r w:rsidRPr="00B537B5">
        <w:rPr>
          <w:szCs w:val="24"/>
        </w:rPr>
        <w:t xml:space="preserve">PAVELKA, Tomáš. </w:t>
      </w:r>
      <w:r w:rsidRPr="00524607">
        <w:rPr>
          <w:i/>
          <w:szCs w:val="24"/>
        </w:rPr>
        <w:t xml:space="preserve">Mikroekonomie: základní kurz. 2., </w:t>
      </w:r>
      <w:proofErr w:type="spellStart"/>
      <w:r w:rsidRPr="00524607">
        <w:rPr>
          <w:i/>
          <w:szCs w:val="24"/>
        </w:rPr>
        <w:t>aktualiz</w:t>
      </w:r>
      <w:proofErr w:type="spellEnd"/>
      <w:r w:rsidRPr="00524607">
        <w:rPr>
          <w:i/>
          <w:szCs w:val="24"/>
        </w:rPr>
        <w:t>. vyd.</w:t>
      </w:r>
      <w:r w:rsidRPr="00B537B5">
        <w:rPr>
          <w:szCs w:val="24"/>
        </w:rPr>
        <w:t xml:space="preserve"> Praha: Vysoká škola ekonomie a managementu, 2010, 290 s. ISBN 978-80-86730-52-3.</w:t>
      </w:r>
    </w:p>
    <w:p w14:paraId="194EF48F" w14:textId="77777777" w:rsidR="0026204A" w:rsidRDefault="0026204A" w:rsidP="00B537B5">
      <w:pPr>
        <w:spacing w:after="20"/>
        <w:rPr>
          <w:szCs w:val="24"/>
        </w:rPr>
      </w:pPr>
      <w:r w:rsidRPr="0026204A">
        <w:rPr>
          <w:szCs w:val="24"/>
        </w:rPr>
        <w:t xml:space="preserve">ŽÁK, M. </w:t>
      </w:r>
      <w:r w:rsidRPr="0026204A">
        <w:rPr>
          <w:i/>
          <w:szCs w:val="24"/>
        </w:rPr>
        <w:t>Hospodářská politika</w:t>
      </w:r>
      <w:r w:rsidRPr="00E37353">
        <w:rPr>
          <w:i/>
          <w:szCs w:val="24"/>
        </w:rPr>
        <w:t>. 1.vyd.</w:t>
      </w:r>
      <w:r w:rsidRPr="0026204A">
        <w:rPr>
          <w:szCs w:val="24"/>
        </w:rPr>
        <w:t xml:space="preserve"> Praha: VŠEM, 2007. 210 s. ISBN 978-80- 86730-04-2. </w:t>
      </w:r>
    </w:p>
    <w:p w14:paraId="0508DAEF" w14:textId="77777777" w:rsidR="00E37353" w:rsidRPr="00E37353" w:rsidRDefault="00E37353" w:rsidP="00B537B5">
      <w:pPr>
        <w:spacing w:after="20"/>
        <w:rPr>
          <w:szCs w:val="24"/>
        </w:rPr>
      </w:pPr>
      <w:r w:rsidRPr="00E37353">
        <w:rPr>
          <w:szCs w:val="24"/>
        </w:rPr>
        <w:t xml:space="preserve">KRAMEŠ, Jaroslav. </w:t>
      </w:r>
      <w:r w:rsidRPr="00E37353">
        <w:rPr>
          <w:i/>
          <w:szCs w:val="24"/>
        </w:rPr>
        <w:t xml:space="preserve">Makroekonomie: základní kurz. 2., </w:t>
      </w:r>
      <w:proofErr w:type="spellStart"/>
      <w:r w:rsidRPr="00E37353">
        <w:rPr>
          <w:i/>
          <w:szCs w:val="24"/>
        </w:rPr>
        <w:t>přeprac</w:t>
      </w:r>
      <w:proofErr w:type="spellEnd"/>
      <w:r w:rsidRPr="00E37353">
        <w:rPr>
          <w:i/>
          <w:szCs w:val="24"/>
        </w:rPr>
        <w:t>. vyd.</w:t>
      </w:r>
      <w:r w:rsidRPr="00E37353">
        <w:rPr>
          <w:szCs w:val="24"/>
        </w:rPr>
        <w:t xml:space="preserve"> Praha: </w:t>
      </w:r>
    </w:p>
    <w:p w14:paraId="3FC3B327" w14:textId="77777777" w:rsidR="00E37353" w:rsidRPr="00E37353" w:rsidRDefault="00E37353" w:rsidP="00B537B5">
      <w:pPr>
        <w:spacing w:after="20"/>
        <w:rPr>
          <w:szCs w:val="24"/>
        </w:rPr>
      </w:pPr>
      <w:proofErr w:type="spellStart"/>
      <w:r w:rsidRPr="00E37353">
        <w:rPr>
          <w:szCs w:val="24"/>
        </w:rPr>
        <w:t>Oeconomica</w:t>
      </w:r>
      <w:proofErr w:type="spellEnd"/>
      <w:r w:rsidRPr="00E37353">
        <w:rPr>
          <w:szCs w:val="24"/>
        </w:rPr>
        <w:t xml:space="preserve">, 2008, 194 s. ISBN 978-80-245-1319-5. </w:t>
      </w:r>
    </w:p>
    <w:p w14:paraId="51BCBF13" w14:textId="77777777" w:rsidR="00B537B5" w:rsidRPr="00B537B5" w:rsidRDefault="00B537B5" w:rsidP="00B537B5">
      <w:pPr>
        <w:spacing w:after="20"/>
        <w:rPr>
          <w:szCs w:val="24"/>
        </w:rPr>
      </w:pPr>
      <w:r w:rsidRPr="00B537B5">
        <w:rPr>
          <w:szCs w:val="24"/>
        </w:rPr>
        <w:t xml:space="preserve">JUREČKA, V. a kol. </w:t>
      </w:r>
      <w:r w:rsidRPr="00B537B5">
        <w:rPr>
          <w:i/>
          <w:szCs w:val="24"/>
        </w:rPr>
        <w:t>Makroekonomie. 1.vyd.</w:t>
      </w:r>
      <w:r w:rsidRPr="00B537B5">
        <w:rPr>
          <w:szCs w:val="24"/>
        </w:rPr>
        <w:t xml:space="preserve"> Praha: </w:t>
      </w:r>
      <w:proofErr w:type="spellStart"/>
      <w:r w:rsidRPr="00B537B5">
        <w:rPr>
          <w:szCs w:val="24"/>
        </w:rPr>
        <w:t>Grada</w:t>
      </w:r>
      <w:proofErr w:type="spellEnd"/>
      <w:r w:rsidRPr="00B537B5">
        <w:rPr>
          <w:szCs w:val="24"/>
        </w:rPr>
        <w:t xml:space="preserve"> </w:t>
      </w:r>
      <w:proofErr w:type="spellStart"/>
      <w:r w:rsidRPr="00B537B5">
        <w:rPr>
          <w:szCs w:val="24"/>
        </w:rPr>
        <w:t>Publishing</w:t>
      </w:r>
      <w:proofErr w:type="spellEnd"/>
      <w:r w:rsidRPr="00B537B5">
        <w:rPr>
          <w:szCs w:val="24"/>
        </w:rPr>
        <w:t xml:space="preserve">, 2010. 336 s. ISBN 978-80-247-3258-9. </w:t>
      </w:r>
    </w:p>
    <w:p w14:paraId="50FB28EC" w14:textId="77777777" w:rsidR="00B537B5" w:rsidRPr="00E37353" w:rsidRDefault="00B537B5" w:rsidP="00B537B5">
      <w:pPr>
        <w:spacing w:after="20"/>
        <w:rPr>
          <w:szCs w:val="24"/>
        </w:rPr>
      </w:pPr>
      <w:r w:rsidRPr="00B537B5">
        <w:rPr>
          <w:szCs w:val="24"/>
        </w:rPr>
        <w:t xml:space="preserve">JUREČKA, V. a kol. </w:t>
      </w:r>
      <w:r w:rsidRPr="00B537B5">
        <w:rPr>
          <w:i/>
          <w:szCs w:val="24"/>
        </w:rPr>
        <w:t xml:space="preserve">Mikroekonomie. 1.vyd. </w:t>
      </w:r>
      <w:r w:rsidRPr="00B537B5">
        <w:rPr>
          <w:szCs w:val="24"/>
        </w:rPr>
        <w:t xml:space="preserve">Praha: </w:t>
      </w:r>
      <w:proofErr w:type="spellStart"/>
      <w:r w:rsidRPr="00B537B5">
        <w:rPr>
          <w:szCs w:val="24"/>
        </w:rPr>
        <w:t>Grada</w:t>
      </w:r>
      <w:proofErr w:type="spellEnd"/>
      <w:r w:rsidRPr="00B537B5">
        <w:rPr>
          <w:szCs w:val="24"/>
        </w:rPr>
        <w:t xml:space="preserve"> </w:t>
      </w:r>
      <w:proofErr w:type="spellStart"/>
      <w:r w:rsidRPr="00B537B5">
        <w:rPr>
          <w:szCs w:val="24"/>
        </w:rPr>
        <w:t>Publishing</w:t>
      </w:r>
      <w:proofErr w:type="spellEnd"/>
      <w:r w:rsidRPr="00B537B5">
        <w:rPr>
          <w:szCs w:val="24"/>
        </w:rPr>
        <w:t xml:space="preserve">, 2010. 360 s. ISBN 978-80-247-3259-6. </w:t>
      </w:r>
    </w:p>
    <w:p w14:paraId="4E5DCA96" w14:textId="77777777" w:rsidR="006D012B" w:rsidRDefault="006D012B" w:rsidP="00B537B5">
      <w:pPr>
        <w:spacing w:after="20"/>
        <w:rPr>
          <w:szCs w:val="24"/>
        </w:rPr>
      </w:pPr>
    </w:p>
    <w:p w14:paraId="7F31C90F" w14:textId="77777777" w:rsidR="006D012B" w:rsidRDefault="006D012B" w:rsidP="00B537B5">
      <w:pPr>
        <w:spacing w:after="20"/>
        <w:rPr>
          <w:b/>
          <w:sz w:val="28"/>
          <w:szCs w:val="28"/>
        </w:rPr>
      </w:pPr>
      <w:r w:rsidRPr="006D012B">
        <w:rPr>
          <w:b/>
          <w:sz w:val="28"/>
          <w:szCs w:val="28"/>
        </w:rPr>
        <w:t>Internetové zdroje</w:t>
      </w:r>
    </w:p>
    <w:p w14:paraId="33FB4C38" w14:textId="77777777" w:rsidR="006D012B" w:rsidRDefault="006D012B" w:rsidP="00B537B5">
      <w:pPr>
        <w:spacing w:after="20"/>
        <w:rPr>
          <w:b/>
          <w:sz w:val="28"/>
          <w:szCs w:val="28"/>
        </w:rPr>
      </w:pPr>
    </w:p>
    <w:p w14:paraId="4AA7DF47" w14:textId="77777777" w:rsidR="006D012B" w:rsidRPr="00F105C5" w:rsidRDefault="00F105C5" w:rsidP="0010183F">
      <w:pPr>
        <w:spacing w:after="20"/>
        <w:jc w:val="left"/>
        <w:rPr>
          <w:szCs w:val="24"/>
        </w:rPr>
      </w:pPr>
      <w:r w:rsidRPr="00F105C5">
        <w:rPr>
          <w:szCs w:val="24"/>
        </w:rPr>
        <w:t xml:space="preserve">EUROPA 2020: </w:t>
      </w:r>
      <w:r w:rsidRPr="007A43E8">
        <w:rPr>
          <w:i/>
          <w:szCs w:val="24"/>
        </w:rPr>
        <w:t>Čes</w:t>
      </w:r>
      <w:r w:rsidR="0026204A" w:rsidRPr="007A43E8">
        <w:rPr>
          <w:i/>
          <w:szCs w:val="24"/>
        </w:rPr>
        <w:t>ká republika.</w:t>
      </w:r>
      <w:r w:rsidR="0026204A">
        <w:rPr>
          <w:szCs w:val="24"/>
        </w:rPr>
        <w:t xml:space="preserve"> In: [online]. 2014</w:t>
      </w:r>
      <w:r w:rsidRPr="00F105C5">
        <w:rPr>
          <w:szCs w:val="24"/>
        </w:rPr>
        <w:t xml:space="preserve">. vyd. [cit. 2014-11-26]. Dostupné z: </w:t>
      </w:r>
      <w:hyperlink r:id="rId35" w:history="1">
        <w:r w:rsidRPr="00F105C5">
          <w:rPr>
            <w:szCs w:val="24"/>
          </w:rPr>
          <w:t>http://ec.europa.eu/europe2020/europe-2020-in-your-country/ceska-republika/country-specific-recommendations/index_cs.htm</w:t>
        </w:r>
      </w:hyperlink>
    </w:p>
    <w:p w14:paraId="252D85F4" w14:textId="77777777" w:rsidR="00F105C5" w:rsidRPr="00F105C5" w:rsidRDefault="00F105C5" w:rsidP="0010183F">
      <w:pPr>
        <w:spacing w:after="20"/>
        <w:jc w:val="left"/>
        <w:rPr>
          <w:szCs w:val="24"/>
        </w:rPr>
      </w:pPr>
      <w:r w:rsidRPr="00F105C5">
        <w:rPr>
          <w:szCs w:val="24"/>
        </w:rPr>
        <w:t xml:space="preserve">EUROPA </w:t>
      </w:r>
      <w:r w:rsidR="0026204A">
        <w:rPr>
          <w:szCs w:val="24"/>
        </w:rPr>
        <w:t xml:space="preserve">2020: </w:t>
      </w:r>
      <w:r w:rsidR="0026204A" w:rsidRPr="0010183F">
        <w:rPr>
          <w:i/>
          <w:szCs w:val="24"/>
        </w:rPr>
        <w:t>Polsko.</w:t>
      </w:r>
      <w:r w:rsidR="0026204A">
        <w:rPr>
          <w:szCs w:val="24"/>
        </w:rPr>
        <w:t xml:space="preserve"> In: [online]. 2014</w:t>
      </w:r>
      <w:r w:rsidRPr="00F105C5">
        <w:rPr>
          <w:szCs w:val="24"/>
        </w:rPr>
        <w:t xml:space="preserve">. vyd. [cit. 2014-11-26]. Dostupné z: </w:t>
      </w:r>
      <w:hyperlink r:id="rId36" w:history="1">
        <w:r w:rsidRPr="00F105C5">
          <w:rPr>
            <w:szCs w:val="24"/>
          </w:rPr>
          <w:t>http://ec.europa.eu/europe2020/europe-2020-in-your-country/polska/country-specific-recommendations/index_en.htm</w:t>
        </w:r>
      </w:hyperlink>
    </w:p>
    <w:p w14:paraId="5E78AF57" w14:textId="77777777" w:rsidR="00F105C5" w:rsidRDefault="00F105C5" w:rsidP="0010183F">
      <w:pPr>
        <w:spacing w:after="20"/>
        <w:jc w:val="left"/>
        <w:rPr>
          <w:szCs w:val="24"/>
        </w:rPr>
      </w:pPr>
      <w:r w:rsidRPr="00B537B5">
        <w:rPr>
          <w:szCs w:val="24"/>
        </w:rPr>
        <w:t xml:space="preserve">EUROPA 2020: </w:t>
      </w:r>
      <w:r w:rsidRPr="0010183F">
        <w:rPr>
          <w:i/>
          <w:szCs w:val="24"/>
        </w:rPr>
        <w:t>Cíle strategie Evropa 2020.</w:t>
      </w:r>
      <w:r w:rsidRPr="00B537B5">
        <w:rPr>
          <w:szCs w:val="24"/>
        </w:rPr>
        <w:t xml:space="preserve"> </w:t>
      </w:r>
      <w:r w:rsidR="0026204A" w:rsidRPr="00B537B5">
        <w:rPr>
          <w:szCs w:val="24"/>
        </w:rPr>
        <w:t>In: [online]. 2014</w:t>
      </w:r>
      <w:r w:rsidRPr="00B537B5">
        <w:rPr>
          <w:szCs w:val="24"/>
        </w:rPr>
        <w:t xml:space="preserve">. vyd. [cit. 2014-11-26]. Dostupné z: </w:t>
      </w:r>
      <w:hyperlink r:id="rId37" w:history="1">
        <w:r w:rsidRPr="00B537B5">
          <w:rPr>
            <w:szCs w:val="24"/>
          </w:rPr>
          <w:t>http://ec.europa.eu/europe2020/pdf/targets_cs.pdf</w:t>
        </w:r>
      </w:hyperlink>
    </w:p>
    <w:p w14:paraId="363F4460" w14:textId="0B56A394" w:rsidR="00057C47" w:rsidRPr="00B537B5" w:rsidRDefault="00057C47" w:rsidP="0010183F">
      <w:pPr>
        <w:spacing w:after="20"/>
        <w:jc w:val="left"/>
        <w:rPr>
          <w:szCs w:val="24"/>
        </w:rPr>
      </w:pPr>
      <w:r w:rsidRPr="00057C47">
        <w:rPr>
          <w:szCs w:val="24"/>
        </w:rPr>
        <w:t xml:space="preserve">EUROPA 2020: </w:t>
      </w:r>
      <w:r>
        <w:rPr>
          <w:i/>
          <w:szCs w:val="24"/>
        </w:rPr>
        <w:t>Hlavní</w:t>
      </w:r>
      <w:r w:rsidRPr="00057C47">
        <w:rPr>
          <w:i/>
          <w:szCs w:val="24"/>
        </w:rPr>
        <w:t xml:space="preserve"> cíle</w:t>
      </w:r>
      <w:r>
        <w:rPr>
          <w:i/>
          <w:szCs w:val="24"/>
        </w:rPr>
        <w:t xml:space="preserve"> Evropa 2020</w:t>
      </w:r>
      <w:r w:rsidRPr="00057C47">
        <w:rPr>
          <w:i/>
          <w:szCs w:val="24"/>
        </w:rPr>
        <w:t>.</w:t>
      </w:r>
      <w:r w:rsidRPr="00057C47">
        <w:rPr>
          <w:szCs w:val="24"/>
        </w:rPr>
        <w:t xml:space="preserve"> In: [online]. </w:t>
      </w:r>
      <w:r>
        <w:rPr>
          <w:szCs w:val="24"/>
        </w:rPr>
        <w:t>2014 [cit. 2014-11-26]. Dostupné</w:t>
      </w:r>
      <w:r w:rsidRPr="00057C47">
        <w:rPr>
          <w:szCs w:val="24"/>
        </w:rPr>
        <w:t xml:space="preserve"> z: </w:t>
      </w:r>
      <w:hyperlink r:id="rId38" w:history="1">
        <w:r w:rsidRPr="00057C47">
          <w:rPr>
            <w:szCs w:val="24"/>
          </w:rPr>
          <w:t>http://eur-lex.europa.eu/LexUriServ/LexUriServ.do?uri=COM:2010:2020:FIN:CS:PDF</w:t>
        </w:r>
      </w:hyperlink>
    </w:p>
    <w:p w14:paraId="56EB844E" w14:textId="77777777" w:rsidR="0026204A" w:rsidRPr="00B537B5" w:rsidRDefault="0026204A" w:rsidP="0010183F">
      <w:pPr>
        <w:spacing w:after="20"/>
        <w:jc w:val="left"/>
        <w:rPr>
          <w:szCs w:val="24"/>
        </w:rPr>
      </w:pPr>
      <w:r w:rsidRPr="00B537B5">
        <w:rPr>
          <w:szCs w:val="24"/>
        </w:rPr>
        <w:t xml:space="preserve">CNB: Inflace. In: [online]. 2014. vyd. [cit. 2014-11-26]. Dostupné z: </w:t>
      </w:r>
      <w:hyperlink r:id="rId39" w:history="1">
        <w:r w:rsidRPr="00B537B5">
          <w:rPr>
            <w:szCs w:val="24"/>
          </w:rPr>
          <w:t>http://www.cnb.cz/cs/statistika/inflace/</w:t>
        </w:r>
      </w:hyperlink>
    </w:p>
    <w:p w14:paraId="243F8D2A" w14:textId="77777777" w:rsidR="00F105C5" w:rsidRPr="00B537B5" w:rsidRDefault="0026204A" w:rsidP="0010183F">
      <w:pPr>
        <w:spacing w:after="20"/>
        <w:jc w:val="left"/>
        <w:rPr>
          <w:szCs w:val="24"/>
        </w:rPr>
      </w:pPr>
      <w:r w:rsidRPr="00B537B5">
        <w:rPr>
          <w:szCs w:val="24"/>
        </w:rPr>
        <w:t xml:space="preserve">CZSO: </w:t>
      </w:r>
      <w:r w:rsidRPr="0010183F">
        <w:rPr>
          <w:i/>
          <w:szCs w:val="24"/>
        </w:rPr>
        <w:t>Parita kupní síly.</w:t>
      </w:r>
      <w:r w:rsidRPr="00B537B5">
        <w:rPr>
          <w:szCs w:val="24"/>
        </w:rPr>
        <w:t xml:space="preserve"> In: [online]. 2014. vyd. [cit. 2014-11-26]. Dostupné z: </w:t>
      </w:r>
      <w:hyperlink r:id="rId40" w:history="1">
        <w:r w:rsidRPr="00B537B5">
          <w:rPr>
            <w:szCs w:val="24"/>
          </w:rPr>
          <w:t>http://www.czso.cz/csu/redakce.nsf/i/evropsky_srovnavaci_program</w:t>
        </w:r>
      </w:hyperlink>
    </w:p>
    <w:p w14:paraId="35173C28" w14:textId="77777777" w:rsidR="0026204A" w:rsidRPr="00B537B5" w:rsidRDefault="0026204A" w:rsidP="0010183F">
      <w:pPr>
        <w:spacing w:after="20"/>
        <w:jc w:val="left"/>
        <w:rPr>
          <w:szCs w:val="24"/>
        </w:rPr>
      </w:pPr>
      <w:r w:rsidRPr="00B537B5">
        <w:rPr>
          <w:szCs w:val="24"/>
        </w:rPr>
        <w:t xml:space="preserve">Europa.eu: </w:t>
      </w:r>
      <w:r w:rsidRPr="0010183F">
        <w:rPr>
          <w:i/>
          <w:szCs w:val="24"/>
        </w:rPr>
        <w:t>Evropská unie.</w:t>
      </w:r>
      <w:r w:rsidRPr="00B537B5">
        <w:rPr>
          <w:szCs w:val="24"/>
        </w:rPr>
        <w:t xml:space="preserve"> In: [online]. 2014. vyd. [cit. 2014-11-26]. Dostupné z: </w:t>
      </w:r>
      <w:hyperlink r:id="rId41" w:history="1">
        <w:r w:rsidRPr="00B537B5">
          <w:rPr>
            <w:szCs w:val="24"/>
          </w:rPr>
          <w:t>http://europa.eu/index_cs.htm</w:t>
        </w:r>
      </w:hyperlink>
    </w:p>
    <w:p w14:paraId="576B9156" w14:textId="77777777" w:rsidR="00B537B5" w:rsidRDefault="00B537B5" w:rsidP="0010183F">
      <w:pPr>
        <w:spacing w:after="20"/>
        <w:jc w:val="left"/>
        <w:rPr>
          <w:szCs w:val="24"/>
        </w:rPr>
      </w:pPr>
      <w:proofErr w:type="spellStart"/>
      <w:r>
        <w:rPr>
          <w:szCs w:val="24"/>
        </w:rPr>
        <w:t>Bussinesinfo</w:t>
      </w:r>
      <w:proofErr w:type="spellEnd"/>
      <w:r>
        <w:rPr>
          <w:szCs w:val="24"/>
        </w:rPr>
        <w:t xml:space="preserve">: </w:t>
      </w:r>
      <w:r w:rsidRPr="0010183F">
        <w:rPr>
          <w:i/>
          <w:szCs w:val="24"/>
        </w:rPr>
        <w:t>Obecná míra nezaměstnanosti.</w:t>
      </w:r>
      <w:r w:rsidRPr="00B537B5">
        <w:rPr>
          <w:szCs w:val="24"/>
        </w:rPr>
        <w:t xml:space="preserve"> In: [online]. 2014. vyd. [cit. 2014-11-26]. Dostupné z: </w:t>
      </w:r>
      <w:hyperlink r:id="rId42" w:anchor="obmiranezam" w:history="1">
        <w:r w:rsidRPr="00B537B5">
          <w:rPr>
            <w:szCs w:val="24"/>
          </w:rPr>
          <w:t>http://www.businessinfo.cz/cs/clanky/hlavni-makroekonomicke-ukazatele-cr-3112.html#obmiranezam</w:t>
        </w:r>
      </w:hyperlink>
    </w:p>
    <w:p w14:paraId="54B38308" w14:textId="77777777" w:rsidR="003F0E43" w:rsidRDefault="003F0E43" w:rsidP="0010183F">
      <w:pPr>
        <w:spacing w:after="20"/>
        <w:jc w:val="left"/>
        <w:rPr>
          <w:szCs w:val="24"/>
        </w:rPr>
      </w:pPr>
      <w:r w:rsidRPr="003F0E43">
        <w:rPr>
          <w:szCs w:val="24"/>
        </w:rPr>
        <w:t xml:space="preserve">MZV: </w:t>
      </w:r>
      <w:r w:rsidRPr="003F0E43">
        <w:rPr>
          <w:i/>
          <w:szCs w:val="24"/>
        </w:rPr>
        <w:t xml:space="preserve">Situace polského hospodářství. </w:t>
      </w:r>
      <w:r w:rsidRPr="003F0E43">
        <w:rPr>
          <w:szCs w:val="24"/>
        </w:rPr>
        <w:t xml:space="preserve">In: [online]. [cit. 2014-11-26]. Dostupné z: </w:t>
      </w:r>
      <w:hyperlink r:id="rId43" w:history="1">
        <w:r w:rsidRPr="003F0E43">
          <w:rPr>
            <w:szCs w:val="24"/>
          </w:rPr>
          <w:t>http://www.mzv.cz/jnp/cz/encyklopedie_statu/evropa/polsko/ekonomika/ekonomicka_charakteristika_zeme.html</w:t>
        </w:r>
      </w:hyperlink>
    </w:p>
    <w:p w14:paraId="5E220988" w14:textId="4E49E869" w:rsidR="0010183F" w:rsidRDefault="0026204A" w:rsidP="0010183F">
      <w:pPr>
        <w:spacing w:after="20"/>
        <w:jc w:val="left"/>
        <w:rPr>
          <w:szCs w:val="24"/>
        </w:rPr>
      </w:pPr>
      <w:r w:rsidRPr="00B537B5">
        <w:rPr>
          <w:szCs w:val="24"/>
        </w:rPr>
        <w:t xml:space="preserve">EUROSTAT: </w:t>
      </w:r>
      <w:r w:rsidRPr="0010183F">
        <w:rPr>
          <w:i/>
          <w:szCs w:val="24"/>
        </w:rPr>
        <w:t>Tempo růstu reálného HDP.</w:t>
      </w:r>
      <w:r w:rsidRPr="00B537B5">
        <w:rPr>
          <w:szCs w:val="24"/>
        </w:rPr>
        <w:t xml:space="preserve"> In: [online]. 2014. vyd. [cit. 2014-11-26]. Dostupné z: </w:t>
      </w:r>
      <w:hyperlink r:id="rId44" w:history="1">
        <w:r w:rsidRPr="00B537B5">
          <w:rPr>
            <w:szCs w:val="24"/>
          </w:rPr>
          <w:t>http://epp.eurostat.ec.europa.eu/tgm/table.do?tab=table&amp;init=1&amp;plugin=1&amp;language=en&amp;pcode=tec00115</w:t>
        </w:r>
      </w:hyperlink>
    </w:p>
    <w:p w14:paraId="5AD482B7" w14:textId="77777777" w:rsidR="0026204A" w:rsidRPr="00B537B5" w:rsidRDefault="0026204A" w:rsidP="0010183F">
      <w:pPr>
        <w:spacing w:after="20"/>
        <w:jc w:val="left"/>
        <w:rPr>
          <w:szCs w:val="24"/>
        </w:rPr>
      </w:pPr>
      <w:r w:rsidRPr="00B537B5">
        <w:rPr>
          <w:szCs w:val="24"/>
        </w:rPr>
        <w:t xml:space="preserve">EUROSTAT: </w:t>
      </w:r>
      <w:r w:rsidRPr="0010183F">
        <w:rPr>
          <w:i/>
          <w:szCs w:val="24"/>
        </w:rPr>
        <w:t>HDP na obyvatele v paritě kupní síly.</w:t>
      </w:r>
      <w:r w:rsidRPr="00B537B5">
        <w:rPr>
          <w:szCs w:val="24"/>
        </w:rPr>
        <w:t xml:space="preserve"> In: [online]. 2014. vyd. [cit. 2014-11-26]. Dostupné z: </w:t>
      </w:r>
      <w:hyperlink r:id="rId45" w:history="1">
        <w:r w:rsidRPr="00B537B5">
          <w:rPr>
            <w:szCs w:val="24"/>
          </w:rPr>
          <w:t>http://epp.eurostat.ec.europa.eu/tgm/table.do?tab=table&amp;init=1&amp;plugin=1&amp;language=en&amp;pcode=tec00114</w:t>
        </w:r>
      </w:hyperlink>
    </w:p>
    <w:p w14:paraId="25A79E4B" w14:textId="77777777" w:rsidR="00E37353" w:rsidRPr="00B537B5" w:rsidRDefault="00E37353" w:rsidP="0010183F">
      <w:pPr>
        <w:spacing w:after="20"/>
        <w:jc w:val="left"/>
        <w:rPr>
          <w:szCs w:val="24"/>
        </w:rPr>
      </w:pPr>
      <w:r w:rsidRPr="00B537B5">
        <w:rPr>
          <w:szCs w:val="24"/>
        </w:rPr>
        <w:t xml:space="preserve">EUROSTAT: </w:t>
      </w:r>
      <w:r w:rsidRPr="0010183F">
        <w:rPr>
          <w:i/>
          <w:szCs w:val="24"/>
        </w:rPr>
        <w:t>Míra inflace.</w:t>
      </w:r>
      <w:r w:rsidRPr="00B537B5">
        <w:rPr>
          <w:szCs w:val="24"/>
        </w:rPr>
        <w:t xml:space="preserve"> In: [online]. 2014. vyd. [cit. 2014-11-26]. Dostupné z: </w:t>
      </w:r>
      <w:hyperlink r:id="rId46" w:history="1">
        <w:r w:rsidRPr="00B537B5">
          <w:rPr>
            <w:szCs w:val="24"/>
          </w:rPr>
          <w:t>http://epp.eurostat.ec.europa.eu/tgm/table.do?tab=table&amp;init=1&amp;plugin=1&amp;language=en&amp;pcode=tec00118</w:t>
        </w:r>
      </w:hyperlink>
    </w:p>
    <w:p w14:paraId="2A7067BB" w14:textId="77777777" w:rsidR="00B537B5" w:rsidRPr="00B537B5" w:rsidRDefault="00B537B5" w:rsidP="0010183F">
      <w:pPr>
        <w:spacing w:after="20"/>
        <w:jc w:val="left"/>
        <w:rPr>
          <w:szCs w:val="24"/>
        </w:rPr>
      </w:pPr>
      <w:r w:rsidRPr="00B537B5">
        <w:rPr>
          <w:szCs w:val="24"/>
        </w:rPr>
        <w:t xml:space="preserve">EUROSTAT: </w:t>
      </w:r>
      <w:r w:rsidRPr="0010183F">
        <w:rPr>
          <w:i/>
          <w:szCs w:val="24"/>
        </w:rPr>
        <w:t>Míra nezaměstnanosti.</w:t>
      </w:r>
      <w:r w:rsidRPr="00B537B5">
        <w:rPr>
          <w:szCs w:val="24"/>
        </w:rPr>
        <w:t xml:space="preserve"> In: [online]. 2014. vyd. [cit. 2014-11-26]. Dostupné z: </w:t>
      </w:r>
      <w:hyperlink r:id="rId47" w:history="1">
        <w:r w:rsidRPr="00B537B5">
          <w:rPr>
            <w:szCs w:val="24"/>
          </w:rPr>
          <w:t>http://epp.eurostat.ec.europa.eu/tgm/table.do?tab=table&amp;language=en&amp;pcode=teilm020&amp;tableSelection=1&amp;plugin=1</w:t>
        </w:r>
      </w:hyperlink>
    </w:p>
    <w:p w14:paraId="35484B86" w14:textId="77777777" w:rsidR="00E37353" w:rsidRPr="00B537B5" w:rsidRDefault="00B537B5" w:rsidP="0010183F">
      <w:pPr>
        <w:spacing w:after="20"/>
        <w:jc w:val="left"/>
        <w:rPr>
          <w:szCs w:val="24"/>
        </w:rPr>
      </w:pPr>
      <w:r w:rsidRPr="007A43E8">
        <w:rPr>
          <w:szCs w:val="24"/>
        </w:rPr>
        <w:t xml:space="preserve">EUROSTAT: </w:t>
      </w:r>
      <w:r w:rsidRPr="0010183F">
        <w:rPr>
          <w:i/>
          <w:szCs w:val="24"/>
        </w:rPr>
        <w:t>Míra zaměstnanosti.</w:t>
      </w:r>
      <w:r w:rsidRPr="007A43E8">
        <w:rPr>
          <w:szCs w:val="24"/>
        </w:rPr>
        <w:t xml:space="preserve"> In: [online]. 2014. vyd. [cit. 2014-11-26]. Dostupné z: </w:t>
      </w:r>
      <w:hyperlink r:id="rId48" w:history="1">
        <w:r w:rsidRPr="007A43E8">
          <w:rPr>
            <w:szCs w:val="24"/>
          </w:rPr>
          <w:t>http://epp.eurostat.ec.europa.eu/tgm/table.do?tab=table&amp;language=en&amp;pcode=tsdec420&amp;tableSelection=3&amp;footnotes=yes&amp;labeling=labels&amp;plugin=1</w:t>
        </w:r>
      </w:hyperlink>
    </w:p>
    <w:p w14:paraId="31861E4F" w14:textId="77777777" w:rsidR="0026204A" w:rsidRPr="007A43E8" w:rsidRDefault="00524607" w:rsidP="0010183F">
      <w:pPr>
        <w:spacing w:after="20"/>
        <w:jc w:val="left"/>
        <w:rPr>
          <w:szCs w:val="24"/>
        </w:rPr>
      </w:pPr>
      <w:r w:rsidRPr="007A43E8">
        <w:rPr>
          <w:szCs w:val="24"/>
        </w:rPr>
        <w:t xml:space="preserve">EUROSTAT: </w:t>
      </w:r>
      <w:r w:rsidRPr="0010183F">
        <w:rPr>
          <w:i/>
          <w:szCs w:val="24"/>
        </w:rPr>
        <w:t>Státní dluh.</w:t>
      </w:r>
      <w:r w:rsidRPr="007A43E8">
        <w:rPr>
          <w:szCs w:val="24"/>
        </w:rPr>
        <w:t xml:space="preserve"> In: [online]. 2014. vyd. [cit. 2014-11-26]. Dostupné z: </w:t>
      </w:r>
      <w:hyperlink r:id="rId49" w:history="1">
        <w:r w:rsidRPr="007A43E8">
          <w:rPr>
            <w:szCs w:val="24"/>
          </w:rPr>
          <w:t>http://epp.eurostat.ec.europa.eu/tgm/table.do?tab=table&amp;language=en&amp;pcode=teina225</w:t>
        </w:r>
      </w:hyperlink>
    </w:p>
    <w:p w14:paraId="0145933F" w14:textId="77777777" w:rsidR="00524607" w:rsidRPr="006D012B" w:rsidRDefault="007A43E8" w:rsidP="0010183F">
      <w:pPr>
        <w:spacing w:after="20"/>
        <w:jc w:val="left"/>
        <w:rPr>
          <w:szCs w:val="24"/>
        </w:rPr>
      </w:pPr>
      <w:r w:rsidRPr="007A43E8">
        <w:rPr>
          <w:szCs w:val="24"/>
        </w:rPr>
        <w:t xml:space="preserve">EUROSTAT: </w:t>
      </w:r>
      <w:r w:rsidRPr="0010183F">
        <w:rPr>
          <w:i/>
          <w:szCs w:val="24"/>
        </w:rPr>
        <w:t>Míra nezaměstnanosti podle dosaženého vzdělání.</w:t>
      </w:r>
      <w:r w:rsidRPr="007A43E8">
        <w:rPr>
          <w:szCs w:val="24"/>
        </w:rPr>
        <w:t xml:space="preserve"> In: [online]. 2014. vyd. [cit. 2014-11-26]. Dostupné z: </w:t>
      </w:r>
      <w:hyperlink r:id="rId50" w:history="1">
        <w:r w:rsidRPr="007A43E8">
          <w:rPr>
            <w:szCs w:val="24"/>
          </w:rPr>
          <w:t>http://epp.eurostat.ec.europa.eu/portal/page/portal/product_details/dataset?p_product_code=TPS00066</w:t>
        </w:r>
      </w:hyperlink>
    </w:p>
    <w:p w14:paraId="652E837E" w14:textId="77777777" w:rsidR="00A37998" w:rsidRPr="007A43E8" w:rsidRDefault="007A43E8" w:rsidP="0010183F">
      <w:pPr>
        <w:spacing w:after="20"/>
        <w:jc w:val="left"/>
        <w:rPr>
          <w:szCs w:val="24"/>
        </w:rPr>
      </w:pPr>
      <w:r w:rsidRPr="007A43E8">
        <w:rPr>
          <w:szCs w:val="24"/>
        </w:rPr>
        <w:t xml:space="preserve">EUROSTAT: </w:t>
      </w:r>
      <w:r w:rsidRPr="0010183F">
        <w:rPr>
          <w:i/>
          <w:szCs w:val="24"/>
        </w:rPr>
        <w:t>Míra zaměstnanosti starších pracovníků podle pohlaví.</w:t>
      </w:r>
      <w:r w:rsidRPr="007A43E8">
        <w:rPr>
          <w:szCs w:val="24"/>
        </w:rPr>
        <w:t xml:space="preserve"> In: [online]. 2014. vyd. [cit. 2014-11-26]. Dostupné z: </w:t>
      </w:r>
      <w:hyperlink r:id="rId51" w:history="1">
        <w:r w:rsidRPr="007A43E8">
          <w:rPr>
            <w:szCs w:val="24"/>
          </w:rPr>
          <w:t>http://epp.eurostat.ec.europa.eu/tgm/table.do?tab=table&amp;init=1&amp;language=en&amp;pcode=tsdde100&amp;plugin=1</w:t>
        </w:r>
      </w:hyperlink>
    </w:p>
    <w:p w14:paraId="44776E0A" w14:textId="77777777" w:rsidR="007A43E8" w:rsidRPr="007A43E8" w:rsidRDefault="007A43E8" w:rsidP="0010183F">
      <w:pPr>
        <w:spacing w:after="20"/>
        <w:jc w:val="left"/>
        <w:rPr>
          <w:szCs w:val="24"/>
        </w:rPr>
      </w:pPr>
      <w:r w:rsidRPr="007A43E8">
        <w:rPr>
          <w:szCs w:val="24"/>
        </w:rPr>
        <w:t xml:space="preserve">EUROSTAT: </w:t>
      </w:r>
      <w:r w:rsidRPr="0010183F">
        <w:rPr>
          <w:i/>
          <w:szCs w:val="24"/>
        </w:rPr>
        <w:t>Produktivita práce na jednu odpracovanou hodinu.</w:t>
      </w:r>
      <w:r w:rsidRPr="007A43E8">
        <w:rPr>
          <w:szCs w:val="24"/>
        </w:rPr>
        <w:t xml:space="preserve"> In: [online]. 2014. vyd. [cit. 2014-11-26]. Dostupné z: </w:t>
      </w:r>
      <w:hyperlink r:id="rId52" w:history="1">
        <w:r w:rsidRPr="007A43E8">
          <w:rPr>
            <w:szCs w:val="24"/>
          </w:rPr>
          <w:t>http://epp.eurostat.ec.europa.eu/tgm/table.do?tab=table&amp;init=1&amp;language=en&amp;pcode=tec00117&amp;plugin=1</w:t>
        </w:r>
      </w:hyperlink>
    </w:p>
    <w:p w14:paraId="34C53ED7" w14:textId="77777777" w:rsidR="007A43E8" w:rsidRPr="007A43E8" w:rsidRDefault="007A43E8" w:rsidP="0010183F">
      <w:pPr>
        <w:spacing w:after="20"/>
        <w:jc w:val="left"/>
        <w:rPr>
          <w:szCs w:val="24"/>
        </w:rPr>
      </w:pPr>
      <w:r w:rsidRPr="007A43E8">
        <w:rPr>
          <w:szCs w:val="24"/>
        </w:rPr>
        <w:t xml:space="preserve">EUROSTAT: </w:t>
      </w:r>
      <w:r w:rsidRPr="0010183F">
        <w:rPr>
          <w:i/>
          <w:szCs w:val="24"/>
        </w:rPr>
        <w:t>Doba trvání pracovního života podle pohlaví.</w:t>
      </w:r>
      <w:r w:rsidRPr="007A43E8">
        <w:rPr>
          <w:szCs w:val="24"/>
        </w:rPr>
        <w:t xml:space="preserve"> In: [online]. 2014. vyd. [cit. 2014-11-26]. Dostupné z: </w:t>
      </w:r>
      <w:hyperlink r:id="rId53" w:history="1">
        <w:r w:rsidRPr="007A43E8">
          <w:rPr>
            <w:szCs w:val="24"/>
          </w:rPr>
          <w:t>http://epp.eurostat.ec.europa.eu/tgm/table.do?tab=table&amp;init=1&amp;language=en&amp;pcode=tsdde420&amp;plugin=1</w:t>
        </w:r>
      </w:hyperlink>
    </w:p>
    <w:p w14:paraId="0E088358" w14:textId="77777777" w:rsidR="007A43E8" w:rsidRDefault="007A43E8" w:rsidP="0010183F">
      <w:pPr>
        <w:spacing w:after="20"/>
        <w:jc w:val="left"/>
        <w:rPr>
          <w:szCs w:val="24"/>
        </w:rPr>
      </w:pPr>
    </w:p>
    <w:p w14:paraId="3E27D95F" w14:textId="77777777" w:rsidR="00576750" w:rsidRDefault="00576750" w:rsidP="0010183F">
      <w:pPr>
        <w:spacing w:after="20"/>
        <w:jc w:val="left"/>
        <w:rPr>
          <w:szCs w:val="24"/>
        </w:rPr>
      </w:pPr>
    </w:p>
    <w:p w14:paraId="19CAF445" w14:textId="77777777" w:rsidR="00576750" w:rsidRDefault="00576750" w:rsidP="0010183F">
      <w:pPr>
        <w:spacing w:after="20"/>
        <w:jc w:val="left"/>
        <w:rPr>
          <w:szCs w:val="24"/>
        </w:rPr>
      </w:pPr>
    </w:p>
    <w:p w14:paraId="1A09BDFB" w14:textId="77777777" w:rsidR="00576750" w:rsidRDefault="00576750" w:rsidP="0010183F">
      <w:pPr>
        <w:spacing w:after="20"/>
        <w:jc w:val="left"/>
        <w:rPr>
          <w:szCs w:val="24"/>
        </w:rPr>
      </w:pPr>
    </w:p>
    <w:p w14:paraId="02CA0188" w14:textId="77777777" w:rsidR="00576750" w:rsidRDefault="00576750" w:rsidP="0010183F">
      <w:pPr>
        <w:spacing w:after="20"/>
        <w:jc w:val="left"/>
        <w:rPr>
          <w:szCs w:val="24"/>
        </w:rPr>
      </w:pPr>
    </w:p>
    <w:p w14:paraId="1AA96C7D" w14:textId="77777777" w:rsidR="00576750" w:rsidRDefault="00576750" w:rsidP="0010183F">
      <w:pPr>
        <w:spacing w:after="20"/>
        <w:jc w:val="left"/>
        <w:rPr>
          <w:szCs w:val="24"/>
        </w:rPr>
      </w:pPr>
    </w:p>
    <w:p w14:paraId="70B3C616" w14:textId="77777777" w:rsidR="00576750" w:rsidRDefault="00576750" w:rsidP="0010183F">
      <w:pPr>
        <w:spacing w:after="20"/>
        <w:jc w:val="left"/>
        <w:rPr>
          <w:szCs w:val="24"/>
        </w:rPr>
      </w:pPr>
    </w:p>
    <w:p w14:paraId="3BC32032" w14:textId="77777777" w:rsidR="00576750" w:rsidRDefault="00576750" w:rsidP="0010183F">
      <w:pPr>
        <w:spacing w:after="20"/>
        <w:jc w:val="left"/>
        <w:rPr>
          <w:szCs w:val="24"/>
        </w:rPr>
      </w:pPr>
    </w:p>
    <w:p w14:paraId="6ED0E7DE" w14:textId="77777777" w:rsidR="00576750" w:rsidRDefault="00576750" w:rsidP="0010183F">
      <w:pPr>
        <w:spacing w:after="20"/>
        <w:jc w:val="left"/>
        <w:rPr>
          <w:szCs w:val="24"/>
        </w:rPr>
      </w:pPr>
    </w:p>
    <w:p w14:paraId="5D39B837" w14:textId="0A5D027B" w:rsidR="00576750" w:rsidRPr="00030B57" w:rsidRDefault="00576750" w:rsidP="00030B57">
      <w:pPr>
        <w:pStyle w:val="Nadpis1"/>
        <w:rPr>
          <w:rStyle w:val="Siln"/>
          <w:b/>
          <w:szCs w:val="32"/>
        </w:rPr>
      </w:pPr>
      <w:bookmarkStart w:id="28" w:name="_Toc281822804"/>
      <w:r w:rsidRPr="00030B57">
        <w:rPr>
          <w:rStyle w:val="Siln"/>
          <w:b/>
          <w:szCs w:val="32"/>
        </w:rPr>
        <w:t>Přílohy</w:t>
      </w:r>
      <w:bookmarkEnd w:id="28"/>
    </w:p>
    <w:p w14:paraId="5F5C3252" w14:textId="77777777" w:rsidR="00576750" w:rsidRDefault="00576750" w:rsidP="0010183F">
      <w:pPr>
        <w:spacing w:after="20"/>
        <w:jc w:val="left"/>
        <w:rPr>
          <w:rStyle w:val="Siln"/>
          <w:sz w:val="32"/>
          <w:szCs w:val="32"/>
        </w:rPr>
      </w:pPr>
    </w:p>
    <w:p w14:paraId="6F036B99" w14:textId="1F67EB54" w:rsidR="00576750" w:rsidRPr="00A628A2" w:rsidRDefault="00576750" w:rsidP="00CB1B50">
      <w:pPr>
        <w:jc w:val="center"/>
      </w:pPr>
      <w:r w:rsidRPr="00536C5C">
        <w:rPr>
          <w:b/>
          <w:bCs/>
          <w:szCs w:val="24"/>
        </w:rPr>
        <w:t>Tabulka 1</w:t>
      </w:r>
      <w:r>
        <w:rPr>
          <w:bCs/>
          <w:szCs w:val="24"/>
        </w:rPr>
        <w:t xml:space="preserve"> - </w:t>
      </w:r>
      <w:r w:rsidR="00A628A2">
        <w:rPr>
          <w:rStyle w:val="Siln"/>
          <w:b w:val="0"/>
          <w:sz w:val="22"/>
          <w:szCs w:val="22"/>
        </w:rPr>
        <w:t>Tempo</w:t>
      </w:r>
      <w:r w:rsidR="00A628A2" w:rsidRPr="00BC24BC">
        <w:rPr>
          <w:rStyle w:val="Siln"/>
          <w:b w:val="0"/>
          <w:sz w:val="22"/>
          <w:szCs w:val="22"/>
        </w:rPr>
        <w:t xml:space="preserve"> růstu reálného hrubého domácího </w:t>
      </w:r>
      <w:r w:rsidR="00A628A2">
        <w:rPr>
          <w:rStyle w:val="Siln"/>
          <w:b w:val="0"/>
          <w:sz w:val="22"/>
          <w:szCs w:val="22"/>
        </w:rPr>
        <w:t>produktu (HDP) ČR, Polska a EU</w:t>
      </w:r>
      <w:r w:rsidR="00A628A2" w:rsidRPr="00BC24BC">
        <w:rPr>
          <w:rStyle w:val="Siln"/>
          <w:b w:val="0"/>
          <w:sz w:val="22"/>
          <w:szCs w:val="22"/>
        </w:rPr>
        <w:t xml:space="preserve"> </w:t>
      </w:r>
      <w:r w:rsidR="00A628A2">
        <w:rPr>
          <w:rStyle w:val="Siln"/>
          <w:b w:val="0"/>
          <w:sz w:val="22"/>
          <w:szCs w:val="22"/>
        </w:rPr>
        <w:t>(</w:t>
      </w:r>
      <w:r w:rsidR="00A628A2" w:rsidRPr="00BC24BC">
        <w:rPr>
          <w:rStyle w:val="Siln"/>
          <w:b w:val="0"/>
          <w:sz w:val="22"/>
          <w:szCs w:val="22"/>
        </w:rPr>
        <w:t>28</w:t>
      </w:r>
      <w:r w:rsidR="00A628A2">
        <w:rPr>
          <w:rStyle w:val="Siln"/>
          <w:b w:val="0"/>
          <w:sz w:val="22"/>
          <w:szCs w:val="22"/>
        </w:rPr>
        <w:t>)</w:t>
      </w:r>
      <w:r w:rsidR="00A628A2" w:rsidRPr="00BC24BC">
        <w:rPr>
          <w:rStyle w:val="Siln"/>
          <w:b w:val="0"/>
          <w:sz w:val="22"/>
          <w:szCs w:val="22"/>
        </w:rPr>
        <w:t xml:space="preserve">, </w:t>
      </w:r>
      <w:r w:rsidR="0013108D">
        <w:rPr>
          <w:rStyle w:val="Siln"/>
          <w:b w:val="0"/>
          <w:sz w:val="22"/>
          <w:szCs w:val="22"/>
        </w:rPr>
        <w:t xml:space="preserve">v procentní změně předchozího roku </w:t>
      </w:r>
      <w:r w:rsidR="00A628A2" w:rsidRPr="00BC24BC">
        <w:rPr>
          <w:rStyle w:val="Siln"/>
          <w:b w:val="0"/>
          <w:sz w:val="22"/>
          <w:szCs w:val="22"/>
        </w:rPr>
        <w:t>za období 2008-2013</w:t>
      </w:r>
    </w:p>
    <w:p w14:paraId="4F6A9E10" w14:textId="77923D7E" w:rsidR="00576750" w:rsidRDefault="00EF06B2" w:rsidP="00CB1B50">
      <w:pPr>
        <w:spacing w:after="20"/>
        <w:jc w:val="center"/>
        <w:rPr>
          <w:bCs/>
          <w:szCs w:val="24"/>
        </w:rPr>
      </w:pPr>
      <w:r>
        <w:rPr>
          <w:bCs/>
          <w:noProof/>
          <w:szCs w:val="24"/>
          <w:lang w:eastAsia="ja-JP"/>
        </w:rPr>
        <w:drawing>
          <wp:inline distT="0" distB="0" distL="0" distR="0" wp14:anchorId="135C4C9C" wp14:editId="59BC83ED">
            <wp:extent cx="5410879" cy="556220"/>
            <wp:effectExtent l="0" t="0" r="0" b="0"/>
            <wp:docPr id="10" name="Picture 8" descr="Macintosh HD:Users:Peta:Desktop:Tabulky:1. Real GDP growth rate - vo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eta:Desktop:Tabulky:1. Real GDP growth rate - volum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4024" cy="558599"/>
                    </a:xfrm>
                    <a:prstGeom prst="rect">
                      <a:avLst/>
                    </a:prstGeom>
                    <a:noFill/>
                    <a:ln>
                      <a:noFill/>
                    </a:ln>
                  </pic:spPr>
                </pic:pic>
              </a:graphicData>
            </a:graphic>
          </wp:inline>
        </w:drawing>
      </w:r>
    </w:p>
    <w:p w14:paraId="7220A74F" w14:textId="77777777" w:rsidR="00A628A2" w:rsidRPr="00BC24BC" w:rsidRDefault="00A628A2" w:rsidP="00CB1B50">
      <w:pPr>
        <w:spacing w:after="20"/>
        <w:jc w:val="center"/>
        <w:rPr>
          <w:noProof/>
          <w:sz w:val="22"/>
          <w:szCs w:val="22"/>
          <w:lang w:val="en-US" w:eastAsia="en-US"/>
        </w:rPr>
      </w:pPr>
      <w:r w:rsidRPr="00BC24BC">
        <w:rPr>
          <w:noProof/>
          <w:sz w:val="22"/>
          <w:szCs w:val="22"/>
          <w:lang w:val="en-US" w:eastAsia="en-US"/>
        </w:rPr>
        <w:t xml:space="preserve">Zdroj: Eurostat, </w:t>
      </w:r>
      <w:r w:rsidRPr="0070449E">
        <w:rPr>
          <w:noProof/>
          <w:sz w:val="22"/>
          <w:szCs w:val="22"/>
          <w:lang w:val="en-US" w:eastAsia="en-US"/>
        </w:rPr>
        <w:t>Real GDP growth rate - volume</w:t>
      </w:r>
      <w:r w:rsidRPr="00BC24BC">
        <w:rPr>
          <w:noProof/>
          <w:sz w:val="22"/>
          <w:szCs w:val="22"/>
          <w:lang w:val="en-US" w:eastAsia="en-US"/>
        </w:rPr>
        <w:t xml:space="preserve"> (2014), vlastní úprava</w:t>
      </w:r>
    </w:p>
    <w:p w14:paraId="77A438B6" w14:textId="77777777" w:rsidR="00A628A2" w:rsidRDefault="00A628A2" w:rsidP="00CB1B50">
      <w:pPr>
        <w:spacing w:after="20"/>
        <w:jc w:val="center"/>
        <w:rPr>
          <w:bCs/>
          <w:szCs w:val="24"/>
        </w:rPr>
      </w:pPr>
    </w:p>
    <w:p w14:paraId="07FFE58F" w14:textId="0BE52A60" w:rsidR="00746750" w:rsidRPr="00A628A2" w:rsidRDefault="00746750" w:rsidP="00CB1B50">
      <w:pPr>
        <w:jc w:val="center"/>
      </w:pPr>
      <w:r w:rsidRPr="00536C5C">
        <w:rPr>
          <w:b/>
          <w:bCs/>
          <w:szCs w:val="24"/>
        </w:rPr>
        <w:t>Tabulka 2</w:t>
      </w:r>
      <w:r>
        <w:rPr>
          <w:bCs/>
          <w:szCs w:val="24"/>
        </w:rPr>
        <w:t xml:space="preserve"> - </w:t>
      </w:r>
      <w:r w:rsidR="00A628A2" w:rsidRPr="00BC24BC">
        <w:rPr>
          <w:noProof/>
          <w:sz w:val="22"/>
          <w:szCs w:val="22"/>
          <w:lang w:val="en-US" w:eastAsia="en-US"/>
        </w:rPr>
        <w:t>HDP na obyvatele v paritě kupní síly v ČR, Polska a EU (28), v indexovém vyjádření, za období 2001-2013</w:t>
      </w:r>
    </w:p>
    <w:p w14:paraId="273E79F4" w14:textId="588A516B" w:rsidR="00746750" w:rsidRDefault="00716050" w:rsidP="00CB1B50">
      <w:pPr>
        <w:spacing w:after="20"/>
        <w:jc w:val="center"/>
        <w:rPr>
          <w:bCs/>
          <w:szCs w:val="24"/>
        </w:rPr>
      </w:pPr>
      <w:r>
        <w:rPr>
          <w:bCs/>
          <w:noProof/>
          <w:szCs w:val="24"/>
          <w:lang w:eastAsia="ja-JP"/>
        </w:rPr>
        <w:drawing>
          <wp:inline distT="0" distB="0" distL="0" distR="0" wp14:anchorId="027AE04E" wp14:editId="62A11408">
            <wp:extent cx="5395595" cy="1086485"/>
            <wp:effectExtent l="0" t="0" r="0" b="0"/>
            <wp:docPr id="11" name="Picture 9" descr="Macintosh HD:Users:Peta:Desktop:Tabulky:2. GDP per capita in PP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eta:Desktop:Tabulky:2. GDP per capita in PPS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5595" cy="1086485"/>
                    </a:xfrm>
                    <a:prstGeom prst="rect">
                      <a:avLst/>
                    </a:prstGeom>
                    <a:noFill/>
                    <a:ln>
                      <a:noFill/>
                    </a:ln>
                  </pic:spPr>
                </pic:pic>
              </a:graphicData>
            </a:graphic>
          </wp:inline>
        </w:drawing>
      </w:r>
    </w:p>
    <w:p w14:paraId="5653444C" w14:textId="77777777" w:rsidR="00A628A2" w:rsidRPr="00BC24BC" w:rsidRDefault="00A628A2" w:rsidP="00CB1B50">
      <w:pPr>
        <w:spacing w:after="20"/>
        <w:jc w:val="center"/>
        <w:rPr>
          <w:noProof/>
          <w:sz w:val="22"/>
          <w:szCs w:val="22"/>
          <w:lang w:val="en-US" w:eastAsia="en-US"/>
        </w:rPr>
      </w:pPr>
      <w:r w:rsidRPr="00BC24BC">
        <w:rPr>
          <w:noProof/>
          <w:sz w:val="22"/>
          <w:szCs w:val="22"/>
          <w:lang w:val="en-US" w:eastAsia="en-US"/>
        </w:rPr>
        <w:t xml:space="preserve">Zdroj: Eurostat, </w:t>
      </w:r>
      <w:r w:rsidRPr="0070449E">
        <w:rPr>
          <w:noProof/>
          <w:sz w:val="22"/>
          <w:szCs w:val="22"/>
          <w:lang w:val="en-US" w:eastAsia="en-US"/>
        </w:rPr>
        <w:t xml:space="preserve">GDP per capita in Purchasing Power Standards </w:t>
      </w:r>
      <w:r w:rsidRPr="00BC24BC">
        <w:rPr>
          <w:noProof/>
          <w:sz w:val="22"/>
          <w:szCs w:val="22"/>
          <w:lang w:val="en-US" w:eastAsia="en-US"/>
        </w:rPr>
        <w:t>(2014), vlastní úprava</w:t>
      </w:r>
    </w:p>
    <w:p w14:paraId="7197598C" w14:textId="77777777" w:rsidR="00A628A2" w:rsidRDefault="00A628A2" w:rsidP="00CB1B50">
      <w:pPr>
        <w:spacing w:after="20"/>
        <w:jc w:val="center"/>
        <w:rPr>
          <w:bCs/>
          <w:szCs w:val="24"/>
        </w:rPr>
      </w:pPr>
    </w:p>
    <w:p w14:paraId="2A07221A" w14:textId="7963541F" w:rsidR="00A628A2" w:rsidRDefault="00746750" w:rsidP="00CB1B50">
      <w:pPr>
        <w:jc w:val="center"/>
      </w:pPr>
      <w:r w:rsidRPr="00536C5C">
        <w:rPr>
          <w:b/>
          <w:bCs/>
          <w:szCs w:val="24"/>
        </w:rPr>
        <w:t>Tabulka 3</w:t>
      </w:r>
      <w:r>
        <w:rPr>
          <w:bCs/>
          <w:szCs w:val="24"/>
        </w:rPr>
        <w:t xml:space="preserve"> - </w:t>
      </w:r>
      <w:r w:rsidR="00A628A2" w:rsidRPr="00716050">
        <w:rPr>
          <w:sz w:val="22"/>
          <w:szCs w:val="22"/>
        </w:rPr>
        <w:t>Roční průměrná inflace v ČR, Polsk</w:t>
      </w:r>
      <w:r w:rsidR="00536C5C">
        <w:rPr>
          <w:sz w:val="22"/>
          <w:szCs w:val="22"/>
        </w:rPr>
        <w:t>u a EU (28) za období 2008 – 20</w:t>
      </w:r>
      <w:r w:rsidR="00142AE9">
        <w:rPr>
          <w:sz w:val="22"/>
          <w:szCs w:val="22"/>
        </w:rPr>
        <w:t xml:space="preserve">13 v procentním </w:t>
      </w:r>
      <w:r w:rsidR="00A628A2" w:rsidRPr="00716050">
        <w:rPr>
          <w:sz w:val="22"/>
          <w:szCs w:val="22"/>
        </w:rPr>
        <w:t>vyjádření</w:t>
      </w:r>
    </w:p>
    <w:p w14:paraId="7F164B4E" w14:textId="5AC85A37" w:rsidR="00746750" w:rsidRDefault="00716050" w:rsidP="00CB1B50">
      <w:pPr>
        <w:spacing w:after="20"/>
        <w:jc w:val="center"/>
        <w:rPr>
          <w:bCs/>
          <w:szCs w:val="24"/>
        </w:rPr>
      </w:pPr>
      <w:r>
        <w:rPr>
          <w:bCs/>
          <w:noProof/>
          <w:szCs w:val="24"/>
          <w:lang w:eastAsia="ja-JP"/>
        </w:rPr>
        <w:drawing>
          <wp:inline distT="0" distB="0" distL="0" distR="0" wp14:anchorId="5205AEDB" wp14:editId="5FD3C8B9">
            <wp:extent cx="5386705" cy="1022985"/>
            <wp:effectExtent l="0" t="0" r="0" b="0"/>
            <wp:docPr id="12" name="Picture 10" descr="Macintosh HD:Users:Peta:Desktop:Tabulky:3. HICP - inflation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eta:Desktop:Tabulky:3. HICP - inflation rat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6705" cy="1022985"/>
                    </a:xfrm>
                    <a:prstGeom prst="rect">
                      <a:avLst/>
                    </a:prstGeom>
                    <a:noFill/>
                    <a:ln>
                      <a:noFill/>
                    </a:ln>
                  </pic:spPr>
                </pic:pic>
              </a:graphicData>
            </a:graphic>
          </wp:inline>
        </w:drawing>
      </w:r>
    </w:p>
    <w:p w14:paraId="49E4F448" w14:textId="1AFBEAFD" w:rsidR="00A628A2" w:rsidRDefault="00A628A2" w:rsidP="00CB1B50">
      <w:pPr>
        <w:jc w:val="center"/>
      </w:pPr>
      <w:proofErr w:type="spellStart"/>
      <w:r w:rsidRPr="00BC24BC">
        <w:rPr>
          <w:sz w:val="22"/>
          <w:szCs w:val="22"/>
        </w:rPr>
        <w:t>Eurostat</w:t>
      </w:r>
      <w:proofErr w:type="spellEnd"/>
      <w:r w:rsidRPr="00BC24BC">
        <w:rPr>
          <w:sz w:val="22"/>
          <w:szCs w:val="22"/>
        </w:rPr>
        <w:t xml:space="preserve">, </w:t>
      </w:r>
      <w:proofErr w:type="spellStart"/>
      <w:r>
        <w:rPr>
          <w:sz w:val="22"/>
          <w:szCs w:val="22"/>
        </w:rPr>
        <w:t>I</w:t>
      </w:r>
      <w:r w:rsidRPr="0070449E">
        <w:rPr>
          <w:sz w:val="22"/>
          <w:szCs w:val="22"/>
        </w:rPr>
        <w:t>nflation</w:t>
      </w:r>
      <w:proofErr w:type="spellEnd"/>
      <w:r w:rsidRPr="0070449E">
        <w:rPr>
          <w:sz w:val="22"/>
          <w:szCs w:val="22"/>
        </w:rPr>
        <w:t xml:space="preserve"> </w:t>
      </w:r>
      <w:proofErr w:type="spellStart"/>
      <w:r w:rsidRPr="0070449E">
        <w:rPr>
          <w:sz w:val="22"/>
          <w:szCs w:val="22"/>
        </w:rPr>
        <w:t>rate</w:t>
      </w:r>
      <w:proofErr w:type="spellEnd"/>
      <w:r w:rsidRPr="0070449E">
        <w:rPr>
          <w:sz w:val="22"/>
          <w:szCs w:val="22"/>
        </w:rPr>
        <w:t xml:space="preserve"> </w:t>
      </w:r>
      <w:r w:rsidRPr="00BC24BC">
        <w:rPr>
          <w:sz w:val="22"/>
          <w:szCs w:val="22"/>
        </w:rPr>
        <w:t>(2014), vlastní úprava</w:t>
      </w:r>
    </w:p>
    <w:p w14:paraId="591D08BC" w14:textId="77777777" w:rsidR="00A628A2" w:rsidRDefault="00A628A2" w:rsidP="00CB1B50">
      <w:pPr>
        <w:spacing w:after="20"/>
        <w:jc w:val="center"/>
        <w:rPr>
          <w:bCs/>
          <w:szCs w:val="24"/>
        </w:rPr>
      </w:pPr>
    </w:p>
    <w:p w14:paraId="6C0A2438" w14:textId="05B0E7DF" w:rsidR="00A628A2" w:rsidRDefault="00746750" w:rsidP="00CB1B50">
      <w:pPr>
        <w:jc w:val="center"/>
      </w:pPr>
      <w:r w:rsidRPr="00536C5C">
        <w:rPr>
          <w:b/>
          <w:bCs/>
          <w:szCs w:val="24"/>
        </w:rPr>
        <w:t>Tabulka 4 -</w:t>
      </w:r>
      <w:r>
        <w:rPr>
          <w:bCs/>
          <w:szCs w:val="24"/>
        </w:rPr>
        <w:t xml:space="preserve"> </w:t>
      </w:r>
      <w:r w:rsidR="00030B57">
        <w:rPr>
          <w:rStyle w:val="Siln"/>
          <w:b w:val="0"/>
        </w:rPr>
        <w:t>Pr</w:t>
      </w:r>
      <w:r w:rsidR="00A628A2" w:rsidRPr="00D24DB6">
        <w:rPr>
          <w:rStyle w:val="Siln"/>
          <w:b w:val="0"/>
        </w:rPr>
        <w:t>ůměrná míra zaměstnanosti v ČR, Polsku a EU (28)</w:t>
      </w:r>
      <w:r w:rsidR="00142AE9">
        <w:rPr>
          <w:rStyle w:val="Siln"/>
          <w:b w:val="0"/>
        </w:rPr>
        <w:t>, v procentním vyjádření,</w:t>
      </w:r>
      <w:r w:rsidR="00A628A2" w:rsidRPr="00D24DB6">
        <w:rPr>
          <w:rStyle w:val="Siln"/>
          <w:b w:val="0"/>
        </w:rPr>
        <w:t xml:space="preserve"> v období 2008-2013</w:t>
      </w:r>
    </w:p>
    <w:p w14:paraId="4D6771EB" w14:textId="28A28F4F" w:rsidR="00746750" w:rsidRDefault="00716050" w:rsidP="00CB1B50">
      <w:pPr>
        <w:spacing w:after="20"/>
        <w:jc w:val="center"/>
        <w:rPr>
          <w:bCs/>
          <w:szCs w:val="24"/>
        </w:rPr>
      </w:pPr>
      <w:r>
        <w:rPr>
          <w:bCs/>
          <w:noProof/>
          <w:szCs w:val="24"/>
          <w:lang w:eastAsia="ja-JP"/>
        </w:rPr>
        <w:drawing>
          <wp:inline distT="0" distB="0" distL="0" distR="0" wp14:anchorId="6D02D7CF" wp14:editId="09EB72DF">
            <wp:extent cx="5386705" cy="1113790"/>
            <wp:effectExtent l="0" t="0" r="0" b="0"/>
            <wp:docPr id="14" name="Picture 11" descr="Macintosh HD:Users:Peta:Desktop:Tabulky:4. Un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eta:Desktop:Tabulky:4. Unemployment rat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6705" cy="1113790"/>
                    </a:xfrm>
                    <a:prstGeom prst="rect">
                      <a:avLst/>
                    </a:prstGeom>
                    <a:noFill/>
                    <a:ln>
                      <a:noFill/>
                    </a:ln>
                  </pic:spPr>
                </pic:pic>
              </a:graphicData>
            </a:graphic>
          </wp:inline>
        </w:drawing>
      </w:r>
    </w:p>
    <w:p w14:paraId="0C1574B8" w14:textId="77777777" w:rsidR="00A628A2" w:rsidRPr="00716050" w:rsidRDefault="00A628A2" w:rsidP="00CB1B50">
      <w:pPr>
        <w:spacing w:after="20"/>
        <w:jc w:val="center"/>
        <w:rPr>
          <w:sz w:val="22"/>
          <w:szCs w:val="22"/>
        </w:rPr>
      </w:pPr>
      <w:r w:rsidRPr="00716050">
        <w:rPr>
          <w:sz w:val="22"/>
          <w:szCs w:val="22"/>
        </w:rPr>
        <w:t>Zdroj: Eurostat, Employment rate (2014), vlastní úprava</w:t>
      </w:r>
    </w:p>
    <w:p w14:paraId="2E2B5C4F" w14:textId="77777777" w:rsidR="00A628A2" w:rsidRDefault="00A628A2" w:rsidP="00CB1B50">
      <w:pPr>
        <w:spacing w:after="20"/>
        <w:jc w:val="center"/>
        <w:rPr>
          <w:bCs/>
          <w:szCs w:val="24"/>
        </w:rPr>
      </w:pPr>
    </w:p>
    <w:p w14:paraId="358DCB9C" w14:textId="77777777" w:rsidR="00536C5C" w:rsidRDefault="00536C5C" w:rsidP="00CB1B50">
      <w:pPr>
        <w:spacing w:after="20"/>
        <w:jc w:val="center"/>
        <w:rPr>
          <w:bCs/>
          <w:szCs w:val="24"/>
        </w:rPr>
      </w:pPr>
    </w:p>
    <w:p w14:paraId="1BC8F77E" w14:textId="77777777" w:rsidR="00536C5C" w:rsidRDefault="00536C5C" w:rsidP="00CB1B50">
      <w:pPr>
        <w:spacing w:after="20"/>
        <w:jc w:val="center"/>
        <w:rPr>
          <w:bCs/>
          <w:szCs w:val="24"/>
        </w:rPr>
      </w:pPr>
    </w:p>
    <w:p w14:paraId="07CB4BC2" w14:textId="77777777" w:rsidR="00536C5C" w:rsidRDefault="00536C5C" w:rsidP="00CB1B50">
      <w:pPr>
        <w:spacing w:after="20"/>
        <w:jc w:val="center"/>
        <w:rPr>
          <w:bCs/>
          <w:szCs w:val="24"/>
        </w:rPr>
      </w:pPr>
    </w:p>
    <w:p w14:paraId="1D2600AF" w14:textId="77777777" w:rsidR="00536C5C" w:rsidRDefault="00536C5C" w:rsidP="00CB1B50">
      <w:pPr>
        <w:spacing w:after="20"/>
        <w:jc w:val="center"/>
        <w:rPr>
          <w:bCs/>
          <w:szCs w:val="24"/>
        </w:rPr>
      </w:pPr>
    </w:p>
    <w:p w14:paraId="55F4FDAF" w14:textId="77777777" w:rsidR="00536C5C" w:rsidRDefault="00536C5C" w:rsidP="00CB1B50">
      <w:pPr>
        <w:spacing w:after="20"/>
        <w:jc w:val="center"/>
        <w:rPr>
          <w:bCs/>
          <w:szCs w:val="24"/>
        </w:rPr>
      </w:pPr>
    </w:p>
    <w:p w14:paraId="32B500AF" w14:textId="77777777" w:rsidR="00536C5C" w:rsidRDefault="00536C5C" w:rsidP="00CB1B50">
      <w:pPr>
        <w:spacing w:after="20"/>
        <w:jc w:val="center"/>
        <w:rPr>
          <w:bCs/>
          <w:szCs w:val="24"/>
        </w:rPr>
      </w:pPr>
    </w:p>
    <w:p w14:paraId="64E818CE" w14:textId="77777777" w:rsidR="00536C5C" w:rsidRDefault="00536C5C" w:rsidP="00CB1B50">
      <w:pPr>
        <w:spacing w:after="20"/>
        <w:jc w:val="center"/>
        <w:rPr>
          <w:bCs/>
          <w:szCs w:val="24"/>
        </w:rPr>
      </w:pPr>
    </w:p>
    <w:p w14:paraId="23082F90" w14:textId="77777777" w:rsidR="00A628A2" w:rsidRDefault="00A628A2" w:rsidP="00CB1B50">
      <w:pPr>
        <w:spacing w:after="20"/>
        <w:jc w:val="center"/>
        <w:rPr>
          <w:bCs/>
          <w:szCs w:val="24"/>
        </w:rPr>
      </w:pPr>
    </w:p>
    <w:p w14:paraId="154FC7A5" w14:textId="1B21AD05" w:rsidR="00A628A2" w:rsidRDefault="00746750" w:rsidP="00CB1B50">
      <w:pPr>
        <w:jc w:val="center"/>
      </w:pPr>
      <w:r w:rsidRPr="00536C5C">
        <w:rPr>
          <w:b/>
          <w:bCs/>
          <w:szCs w:val="24"/>
        </w:rPr>
        <w:t>Tabulka 5</w:t>
      </w:r>
      <w:r>
        <w:rPr>
          <w:bCs/>
          <w:szCs w:val="24"/>
        </w:rPr>
        <w:t xml:space="preserve"> - </w:t>
      </w:r>
      <w:r w:rsidR="00030B57">
        <w:rPr>
          <w:rStyle w:val="Siln"/>
          <w:b w:val="0"/>
        </w:rPr>
        <w:t>P</w:t>
      </w:r>
      <w:r w:rsidR="00A628A2" w:rsidRPr="00D24DB6">
        <w:rPr>
          <w:rStyle w:val="Siln"/>
          <w:b w:val="0"/>
        </w:rPr>
        <w:t>růměrná míra zaměstnanosti v ČR, Polsku a EU (28)</w:t>
      </w:r>
      <w:r w:rsidR="00CB1B50">
        <w:rPr>
          <w:rStyle w:val="Siln"/>
          <w:b w:val="0"/>
        </w:rPr>
        <w:t xml:space="preserve">, </w:t>
      </w:r>
      <w:r w:rsidR="00CB1B50" w:rsidRPr="00BC24BC">
        <w:rPr>
          <w:sz w:val="22"/>
          <w:szCs w:val="22"/>
        </w:rPr>
        <w:t>v procentním vyj</w:t>
      </w:r>
      <w:r w:rsidR="00CB1B50">
        <w:rPr>
          <w:sz w:val="22"/>
          <w:szCs w:val="22"/>
        </w:rPr>
        <w:t>ádř</w:t>
      </w:r>
      <w:r w:rsidR="00CB1B50" w:rsidRPr="00BC24BC">
        <w:rPr>
          <w:sz w:val="22"/>
          <w:szCs w:val="22"/>
        </w:rPr>
        <w:t>ení</w:t>
      </w:r>
      <w:r w:rsidR="00CB1B50">
        <w:rPr>
          <w:sz w:val="22"/>
          <w:szCs w:val="22"/>
        </w:rPr>
        <w:t>,</w:t>
      </w:r>
      <w:r w:rsidR="00A628A2" w:rsidRPr="00D24DB6">
        <w:rPr>
          <w:rStyle w:val="Siln"/>
          <w:b w:val="0"/>
        </w:rPr>
        <w:t xml:space="preserve"> v období 2008-2013</w:t>
      </w:r>
    </w:p>
    <w:p w14:paraId="116DF286" w14:textId="210E2DE0" w:rsidR="00746750" w:rsidRDefault="00716050" w:rsidP="00CB1B50">
      <w:pPr>
        <w:spacing w:after="20"/>
        <w:jc w:val="center"/>
        <w:rPr>
          <w:bCs/>
          <w:szCs w:val="24"/>
        </w:rPr>
      </w:pPr>
      <w:r>
        <w:rPr>
          <w:bCs/>
          <w:noProof/>
          <w:szCs w:val="24"/>
          <w:lang w:eastAsia="ja-JP"/>
        </w:rPr>
        <w:drawing>
          <wp:inline distT="0" distB="0" distL="0" distR="0" wp14:anchorId="38F2C064" wp14:editId="5CE6E5E3">
            <wp:extent cx="5395595" cy="1014095"/>
            <wp:effectExtent l="0" t="0" r="0" b="0"/>
            <wp:docPr id="15" name="Picture 12" descr="Macintosh HD:Users:Peta:Desktop:Tabulky:5. 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eta:Desktop:Tabulky:5. Employment rat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5595" cy="1014095"/>
                    </a:xfrm>
                    <a:prstGeom prst="rect">
                      <a:avLst/>
                    </a:prstGeom>
                    <a:noFill/>
                    <a:ln>
                      <a:noFill/>
                    </a:ln>
                  </pic:spPr>
                </pic:pic>
              </a:graphicData>
            </a:graphic>
          </wp:inline>
        </w:drawing>
      </w:r>
    </w:p>
    <w:p w14:paraId="52CBD818" w14:textId="77777777" w:rsidR="00A628A2" w:rsidRPr="00716050" w:rsidRDefault="00A628A2" w:rsidP="00CB1B50">
      <w:pPr>
        <w:spacing w:after="20"/>
        <w:jc w:val="center"/>
        <w:rPr>
          <w:sz w:val="22"/>
          <w:szCs w:val="22"/>
        </w:rPr>
      </w:pPr>
      <w:r w:rsidRPr="00716050">
        <w:rPr>
          <w:sz w:val="22"/>
          <w:szCs w:val="22"/>
        </w:rPr>
        <w:t>Zdroj: Eurostat, Employment rate (2014), vlastní úprava</w:t>
      </w:r>
    </w:p>
    <w:p w14:paraId="2638240D" w14:textId="77777777" w:rsidR="00A628A2" w:rsidRDefault="00A628A2" w:rsidP="00CB1B50">
      <w:pPr>
        <w:spacing w:after="20"/>
        <w:jc w:val="center"/>
        <w:rPr>
          <w:bCs/>
          <w:szCs w:val="24"/>
        </w:rPr>
      </w:pPr>
    </w:p>
    <w:p w14:paraId="79C111E3" w14:textId="2730D47C" w:rsidR="00A628A2" w:rsidRDefault="00746750" w:rsidP="00CB1B50">
      <w:pPr>
        <w:jc w:val="center"/>
      </w:pPr>
      <w:r w:rsidRPr="00536C5C">
        <w:rPr>
          <w:b/>
          <w:bCs/>
          <w:szCs w:val="24"/>
        </w:rPr>
        <w:t>Tabulka 6</w:t>
      </w:r>
      <w:r>
        <w:rPr>
          <w:bCs/>
          <w:szCs w:val="24"/>
        </w:rPr>
        <w:t xml:space="preserve"> -</w:t>
      </w:r>
      <w:r w:rsidR="00A628A2">
        <w:rPr>
          <w:bCs/>
          <w:szCs w:val="24"/>
        </w:rPr>
        <w:t xml:space="preserve"> </w:t>
      </w:r>
      <w:r w:rsidR="00A628A2" w:rsidRPr="00A21945">
        <w:rPr>
          <w:sz w:val="22"/>
          <w:szCs w:val="22"/>
        </w:rPr>
        <w:t>Průměrná míra nezaměstnanosti žen a mužů (15-64let) v ČR, Polsku a EU (28)</w:t>
      </w:r>
      <w:r w:rsidR="00A628A2">
        <w:rPr>
          <w:sz w:val="22"/>
          <w:szCs w:val="22"/>
        </w:rPr>
        <w:t xml:space="preserve"> </w:t>
      </w:r>
      <w:r w:rsidR="00CB1B50">
        <w:rPr>
          <w:sz w:val="22"/>
          <w:szCs w:val="22"/>
        </w:rPr>
        <w:t xml:space="preserve">, v nominální hodnotě, </w:t>
      </w:r>
      <w:r w:rsidR="00A628A2" w:rsidRPr="00716050">
        <w:rPr>
          <w:bCs/>
          <w:sz w:val="22"/>
          <w:szCs w:val="22"/>
        </w:rPr>
        <w:t>v období 2008-2013</w:t>
      </w:r>
    </w:p>
    <w:p w14:paraId="40882D96" w14:textId="27A5E03A" w:rsidR="00746750" w:rsidRDefault="00716050" w:rsidP="00CB1B50">
      <w:pPr>
        <w:spacing w:after="20"/>
        <w:jc w:val="center"/>
        <w:rPr>
          <w:bCs/>
          <w:szCs w:val="24"/>
        </w:rPr>
      </w:pPr>
      <w:r>
        <w:rPr>
          <w:bCs/>
          <w:noProof/>
          <w:szCs w:val="24"/>
          <w:lang w:eastAsia="ja-JP"/>
        </w:rPr>
        <w:drawing>
          <wp:inline distT="0" distB="0" distL="0" distR="0" wp14:anchorId="445BA542" wp14:editId="2DCCDF79">
            <wp:extent cx="5386705" cy="995680"/>
            <wp:effectExtent l="0" t="0" r="0" b="0"/>
            <wp:docPr id="17" name="Picture 14" descr="Macintosh HD:Users:Peta:Desktop:Tabulky:6. General government gross d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eta:Desktop:Tabulky:6. General government gross deb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6705" cy="995680"/>
                    </a:xfrm>
                    <a:prstGeom prst="rect">
                      <a:avLst/>
                    </a:prstGeom>
                    <a:noFill/>
                    <a:ln>
                      <a:noFill/>
                    </a:ln>
                  </pic:spPr>
                </pic:pic>
              </a:graphicData>
            </a:graphic>
          </wp:inline>
        </w:drawing>
      </w:r>
    </w:p>
    <w:p w14:paraId="64332396" w14:textId="77777777" w:rsidR="00A628A2" w:rsidRPr="00A21945" w:rsidRDefault="00A628A2" w:rsidP="00CB1B50">
      <w:pPr>
        <w:spacing w:after="20"/>
        <w:jc w:val="center"/>
        <w:rPr>
          <w:sz w:val="22"/>
          <w:szCs w:val="22"/>
        </w:rPr>
      </w:pPr>
      <w:r w:rsidRPr="00A21945">
        <w:rPr>
          <w:sz w:val="22"/>
          <w:szCs w:val="22"/>
        </w:rPr>
        <w:t xml:space="preserve">Zdroj: Eurostat, </w:t>
      </w:r>
      <w:r w:rsidRPr="004C7785">
        <w:rPr>
          <w:sz w:val="22"/>
          <w:szCs w:val="22"/>
        </w:rPr>
        <w:t>Unemployment rate, by sex</w:t>
      </w:r>
      <w:r w:rsidRPr="00A21945">
        <w:rPr>
          <w:sz w:val="22"/>
          <w:szCs w:val="22"/>
        </w:rPr>
        <w:t xml:space="preserve"> </w:t>
      </w:r>
      <w:r>
        <w:rPr>
          <w:sz w:val="22"/>
          <w:szCs w:val="22"/>
        </w:rPr>
        <w:t>(15-74 year old</w:t>
      </w:r>
      <w:r w:rsidRPr="00A21945">
        <w:rPr>
          <w:sz w:val="22"/>
          <w:szCs w:val="22"/>
        </w:rPr>
        <w:t>)</w:t>
      </w:r>
      <w:r>
        <w:rPr>
          <w:sz w:val="22"/>
          <w:szCs w:val="22"/>
        </w:rPr>
        <w:t xml:space="preserve"> (2014)</w:t>
      </w:r>
      <w:r w:rsidRPr="00A21945">
        <w:rPr>
          <w:sz w:val="22"/>
          <w:szCs w:val="22"/>
        </w:rPr>
        <w:t>, vlastní úprava</w:t>
      </w:r>
    </w:p>
    <w:p w14:paraId="3E873619" w14:textId="75F751AF" w:rsidR="00A628A2" w:rsidRDefault="00A628A2" w:rsidP="00CB1B50">
      <w:pPr>
        <w:spacing w:after="20"/>
        <w:jc w:val="center"/>
        <w:rPr>
          <w:bCs/>
          <w:szCs w:val="24"/>
        </w:rPr>
      </w:pPr>
    </w:p>
    <w:p w14:paraId="1F257D72" w14:textId="03811C07" w:rsidR="00A628A2" w:rsidRDefault="00746750" w:rsidP="00CB1B50">
      <w:pPr>
        <w:jc w:val="center"/>
      </w:pPr>
      <w:r w:rsidRPr="00536C5C">
        <w:rPr>
          <w:b/>
          <w:bCs/>
          <w:szCs w:val="24"/>
        </w:rPr>
        <w:t>Tabulka 7</w:t>
      </w:r>
      <w:r>
        <w:rPr>
          <w:bCs/>
          <w:szCs w:val="24"/>
        </w:rPr>
        <w:t xml:space="preserve"> - </w:t>
      </w:r>
      <w:r w:rsidR="00A628A2" w:rsidRPr="00716050">
        <w:rPr>
          <w:sz w:val="22"/>
          <w:szCs w:val="22"/>
        </w:rPr>
        <w:t xml:space="preserve">Průměrná míra nezaměstnanosti žen i mužů </w:t>
      </w:r>
      <w:r w:rsidR="00A628A2" w:rsidRPr="00A21945">
        <w:rPr>
          <w:sz w:val="22"/>
          <w:szCs w:val="22"/>
        </w:rPr>
        <w:t>15 až 24 let a 25 až 64 let</w:t>
      </w:r>
      <w:r w:rsidR="00A628A2">
        <w:rPr>
          <w:sz w:val="22"/>
          <w:szCs w:val="22"/>
        </w:rPr>
        <w:t xml:space="preserve"> </w:t>
      </w:r>
      <w:r w:rsidR="00A628A2" w:rsidRPr="00716050">
        <w:rPr>
          <w:bCs/>
          <w:sz w:val="22"/>
          <w:szCs w:val="22"/>
        </w:rPr>
        <w:t>v ČR, Polsku a EU (28)</w:t>
      </w:r>
      <w:r w:rsidR="00CB1B50">
        <w:rPr>
          <w:bCs/>
          <w:sz w:val="22"/>
          <w:szCs w:val="22"/>
        </w:rPr>
        <w:t xml:space="preserve">, </w:t>
      </w:r>
      <w:r w:rsidR="00142AE9">
        <w:rPr>
          <w:sz w:val="22"/>
          <w:szCs w:val="22"/>
        </w:rPr>
        <w:t xml:space="preserve">v procentním </w:t>
      </w:r>
      <w:r w:rsidR="00CB1B50">
        <w:rPr>
          <w:sz w:val="22"/>
          <w:szCs w:val="22"/>
        </w:rPr>
        <w:t xml:space="preserve"> vyjádření, </w:t>
      </w:r>
      <w:r w:rsidR="00A628A2" w:rsidRPr="00716050">
        <w:rPr>
          <w:bCs/>
          <w:sz w:val="22"/>
          <w:szCs w:val="22"/>
        </w:rPr>
        <w:t xml:space="preserve"> v období 2008-2013</w:t>
      </w:r>
    </w:p>
    <w:p w14:paraId="7C210C55" w14:textId="6AEAFC51" w:rsidR="00746750" w:rsidRDefault="00716050" w:rsidP="00CB1B50">
      <w:pPr>
        <w:spacing w:after="20"/>
        <w:jc w:val="center"/>
        <w:rPr>
          <w:bCs/>
          <w:szCs w:val="24"/>
        </w:rPr>
      </w:pPr>
      <w:r>
        <w:rPr>
          <w:bCs/>
          <w:noProof/>
          <w:szCs w:val="24"/>
          <w:lang w:eastAsia="ja-JP"/>
        </w:rPr>
        <w:drawing>
          <wp:inline distT="0" distB="0" distL="0" distR="0" wp14:anchorId="5A4173A7" wp14:editId="6149E535">
            <wp:extent cx="5386705" cy="1249680"/>
            <wp:effectExtent l="0" t="0" r="0" b="0"/>
            <wp:docPr id="19" name="Picture 15" descr="Macintosh HD:Users:Peta:Desktop:Tabulky:7. Un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eta:Desktop:Tabulky:7. Unemployment rat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6705" cy="1249680"/>
                    </a:xfrm>
                    <a:prstGeom prst="rect">
                      <a:avLst/>
                    </a:prstGeom>
                    <a:noFill/>
                    <a:ln>
                      <a:noFill/>
                    </a:ln>
                  </pic:spPr>
                </pic:pic>
              </a:graphicData>
            </a:graphic>
          </wp:inline>
        </w:drawing>
      </w:r>
    </w:p>
    <w:p w14:paraId="23987D7F" w14:textId="77777777" w:rsidR="00A628A2" w:rsidRPr="00BC24BC" w:rsidRDefault="00A628A2" w:rsidP="00CB1B50">
      <w:pPr>
        <w:spacing w:after="20"/>
        <w:jc w:val="center"/>
        <w:rPr>
          <w:sz w:val="22"/>
          <w:szCs w:val="22"/>
        </w:rPr>
      </w:pPr>
      <w:r>
        <w:rPr>
          <w:sz w:val="22"/>
          <w:szCs w:val="22"/>
        </w:rPr>
        <w:t>Zdroj: Eurostat,</w:t>
      </w:r>
      <w:r w:rsidRPr="00A21945">
        <w:rPr>
          <w:bCs/>
          <w:sz w:val="22"/>
          <w:szCs w:val="22"/>
        </w:rPr>
        <w:t xml:space="preserve"> </w:t>
      </w:r>
      <w:r w:rsidRPr="004C7785">
        <w:rPr>
          <w:sz w:val="22"/>
          <w:szCs w:val="22"/>
        </w:rPr>
        <w:t>Unemployment rate, by sex</w:t>
      </w:r>
      <w:r w:rsidRPr="00A21945">
        <w:rPr>
          <w:sz w:val="22"/>
          <w:szCs w:val="22"/>
        </w:rPr>
        <w:t xml:space="preserve"> </w:t>
      </w:r>
      <w:r>
        <w:rPr>
          <w:sz w:val="22"/>
          <w:szCs w:val="22"/>
        </w:rPr>
        <w:t>(15-24 year old) and</w:t>
      </w:r>
      <w:r w:rsidRPr="00A21945">
        <w:rPr>
          <w:sz w:val="22"/>
          <w:szCs w:val="22"/>
        </w:rPr>
        <w:t xml:space="preserve"> </w:t>
      </w:r>
      <w:r>
        <w:rPr>
          <w:sz w:val="22"/>
          <w:szCs w:val="22"/>
        </w:rPr>
        <w:t>(25-74 year old)</w:t>
      </w:r>
      <w:r w:rsidRPr="00BC24BC">
        <w:rPr>
          <w:sz w:val="22"/>
          <w:szCs w:val="22"/>
        </w:rPr>
        <w:t xml:space="preserve"> (2014), vlastní úprava</w:t>
      </w:r>
    </w:p>
    <w:p w14:paraId="612A01EB" w14:textId="77777777" w:rsidR="00A628A2" w:rsidRDefault="00A628A2" w:rsidP="00CB1B50">
      <w:pPr>
        <w:spacing w:after="20"/>
        <w:jc w:val="center"/>
        <w:rPr>
          <w:bCs/>
          <w:szCs w:val="24"/>
        </w:rPr>
      </w:pPr>
    </w:p>
    <w:p w14:paraId="150F6EC3" w14:textId="0E1332C3" w:rsidR="00746750" w:rsidRDefault="00AC6FE1" w:rsidP="00CB1B50">
      <w:pPr>
        <w:spacing w:after="20"/>
        <w:jc w:val="center"/>
        <w:rPr>
          <w:bCs/>
          <w:szCs w:val="24"/>
        </w:rPr>
      </w:pPr>
      <w:r w:rsidRPr="00536C5C">
        <w:rPr>
          <w:b/>
          <w:bCs/>
          <w:szCs w:val="24"/>
        </w:rPr>
        <w:t>Tabulka 8</w:t>
      </w:r>
      <w:r w:rsidR="00536C5C">
        <w:rPr>
          <w:b/>
          <w:bCs/>
          <w:szCs w:val="24"/>
        </w:rPr>
        <w:t xml:space="preserve"> </w:t>
      </w:r>
      <w:r w:rsidR="00536C5C">
        <w:rPr>
          <w:bCs/>
          <w:szCs w:val="24"/>
        </w:rPr>
        <w:t xml:space="preserve">- </w:t>
      </w:r>
      <w:r w:rsidRPr="00AC6FE1">
        <w:rPr>
          <w:sz w:val="22"/>
          <w:szCs w:val="22"/>
        </w:rPr>
        <w:t>Průměrná</w:t>
      </w:r>
      <w:r w:rsidRPr="00716050">
        <w:rPr>
          <w:sz w:val="22"/>
          <w:szCs w:val="22"/>
        </w:rPr>
        <w:t xml:space="preserve"> míra nezaměstnanosti žen i mužů </w:t>
      </w:r>
      <w:r w:rsidRPr="00A21945">
        <w:rPr>
          <w:sz w:val="22"/>
          <w:szCs w:val="22"/>
        </w:rPr>
        <w:t>15 až 24 let a 25 až 64 let</w:t>
      </w:r>
      <w:r>
        <w:rPr>
          <w:sz w:val="22"/>
          <w:szCs w:val="22"/>
        </w:rPr>
        <w:t xml:space="preserve"> </w:t>
      </w:r>
      <w:r w:rsidRPr="00716050">
        <w:rPr>
          <w:bCs/>
          <w:sz w:val="22"/>
          <w:szCs w:val="22"/>
        </w:rPr>
        <w:t>v ČR, Polsku a EU (28)</w:t>
      </w:r>
      <w:r w:rsidR="00CB1B50">
        <w:rPr>
          <w:bCs/>
          <w:sz w:val="22"/>
          <w:szCs w:val="22"/>
        </w:rPr>
        <w:t xml:space="preserve">, </w:t>
      </w:r>
      <w:r w:rsidR="00142AE9">
        <w:rPr>
          <w:sz w:val="22"/>
          <w:szCs w:val="22"/>
        </w:rPr>
        <w:t xml:space="preserve">v procentním </w:t>
      </w:r>
      <w:r w:rsidR="00CB1B50">
        <w:rPr>
          <w:sz w:val="22"/>
          <w:szCs w:val="22"/>
        </w:rPr>
        <w:t>vyjádření,</w:t>
      </w:r>
      <w:r w:rsidRPr="00716050">
        <w:rPr>
          <w:bCs/>
          <w:sz w:val="22"/>
          <w:szCs w:val="22"/>
        </w:rPr>
        <w:t xml:space="preserve"> v období 2008-2013</w:t>
      </w:r>
      <w:r w:rsidR="00716050">
        <w:rPr>
          <w:bCs/>
          <w:noProof/>
          <w:szCs w:val="24"/>
          <w:lang w:eastAsia="ja-JP"/>
        </w:rPr>
        <w:drawing>
          <wp:inline distT="0" distB="0" distL="0" distR="0" wp14:anchorId="1D2D7178" wp14:editId="1F18F37B">
            <wp:extent cx="5386705" cy="1131570"/>
            <wp:effectExtent l="0" t="0" r="0" b="0"/>
            <wp:docPr id="21" name="Picture 16" descr="Macintosh HD:Users:Peta:Desktop:Tabulky:7-2 Un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eta:Desktop:Tabulky:7-2 Unemployment rat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6705" cy="1131570"/>
                    </a:xfrm>
                    <a:prstGeom prst="rect">
                      <a:avLst/>
                    </a:prstGeom>
                    <a:noFill/>
                    <a:ln>
                      <a:noFill/>
                    </a:ln>
                  </pic:spPr>
                </pic:pic>
              </a:graphicData>
            </a:graphic>
          </wp:inline>
        </w:drawing>
      </w:r>
    </w:p>
    <w:p w14:paraId="4354681F" w14:textId="77777777" w:rsidR="00AC6FE1" w:rsidRDefault="00AC6FE1" w:rsidP="00CB1B50">
      <w:pPr>
        <w:spacing w:after="20"/>
        <w:jc w:val="center"/>
        <w:rPr>
          <w:sz w:val="22"/>
          <w:szCs w:val="22"/>
        </w:rPr>
      </w:pPr>
      <w:r>
        <w:rPr>
          <w:sz w:val="22"/>
          <w:szCs w:val="22"/>
        </w:rPr>
        <w:t>Zdroj: Eurostat,</w:t>
      </w:r>
      <w:r w:rsidRPr="00A21945">
        <w:rPr>
          <w:bCs/>
          <w:sz w:val="22"/>
          <w:szCs w:val="22"/>
        </w:rPr>
        <w:t xml:space="preserve"> </w:t>
      </w:r>
      <w:r w:rsidRPr="004C7785">
        <w:rPr>
          <w:sz w:val="22"/>
          <w:szCs w:val="22"/>
        </w:rPr>
        <w:t>Unemployment rate, by sex</w:t>
      </w:r>
      <w:r w:rsidRPr="00A21945">
        <w:rPr>
          <w:sz w:val="22"/>
          <w:szCs w:val="22"/>
        </w:rPr>
        <w:t xml:space="preserve"> </w:t>
      </w:r>
      <w:r>
        <w:rPr>
          <w:sz w:val="22"/>
          <w:szCs w:val="22"/>
        </w:rPr>
        <w:t>(15-24 year old) and</w:t>
      </w:r>
      <w:r w:rsidRPr="00A21945">
        <w:rPr>
          <w:sz w:val="22"/>
          <w:szCs w:val="22"/>
        </w:rPr>
        <w:t xml:space="preserve"> </w:t>
      </w:r>
      <w:r>
        <w:rPr>
          <w:sz w:val="22"/>
          <w:szCs w:val="22"/>
        </w:rPr>
        <w:t>(25-74 year old)</w:t>
      </w:r>
      <w:r w:rsidRPr="00BC24BC">
        <w:rPr>
          <w:sz w:val="22"/>
          <w:szCs w:val="22"/>
        </w:rPr>
        <w:t xml:space="preserve"> (2014), vlastní úprava</w:t>
      </w:r>
    </w:p>
    <w:p w14:paraId="370C91DE" w14:textId="77777777" w:rsidR="00536C5C" w:rsidRDefault="00536C5C" w:rsidP="00CB1B50">
      <w:pPr>
        <w:spacing w:after="20"/>
        <w:jc w:val="center"/>
        <w:rPr>
          <w:sz w:val="22"/>
          <w:szCs w:val="22"/>
        </w:rPr>
      </w:pPr>
    </w:p>
    <w:p w14:paraId="7844D53A" w14:textId="77777777" w:rsidR="00536C5C" w:rsidRDefault="00536C5C" w:rsidP="00CB1B50">
      <w:pPr>
        <w:spacing w:after="20"/>
        <w:jc w:val="center"/>
        <w:rPr>
          <w:sz w:val="22"/>
          <w:szCs w:val="22"/>
        </w:rPr>
      </w:pPr>
    </w:p>
    <w:p w14:paraId="03B4FB46" w14:textId="77777777" w:rsidR="00536C5C" w:rsidRDefault="00536C5C" w:rsidP="00CB1B50">
      <w:pPr>
        <w:spacing w:after="20"/>
        <w:jc w:val="center"/>
        <w:rPr>
          <w:sz w:val="22"/>
          <w:szCs w:val="22"/>
        </w:rPr>
      </w:pPr>
    </w:p>
    <w:p w14:paraId="511860CE" w14:textId="77777777" w:rsidR="00536C5C" w:rsidRDefault="00536C5C" w:rsidP="00CB1B50">
      <w:pPr>
        <w:spacing w:after="20"/>
        <w:jc w:val="center"/>
        <w:rPr>
          <w:sz w:val="22"/>
          <w:szCs w:val="22"/>
        </w:rPr>
      </w:pPr>
    </w:p>
    <w:p w14:paraId="2F469767" w14:textId="77777777" w:rsidR="00536C5C" w:rsidRDefault="00536C5C" w:rsidP="00CB1B50">
      <w:pPr>
        <w:spacing w:after="20"/>
        <w:jc w:val="center"/>
        <w:rPr>
          <w:sz w:val="22"/>
          <w:szCs w:val="22"/>
        </w:rPr>
      </w:pPr>
    </w:p>
    <w:p w14:paraId="422B18B8" w14:textId="77777777" w:rsidR="00536C5C" w:rsidRDefault="00536C5C" w:rsidP="00CB1B50">
      <w:pPr>
        <w:spacing w:after="20"/>
        <w:jc w:val="center"/>
        <w:rPr>
          <w:sz w:val="22"/>
          <w:szCs w:val="22"/>
        </w:rPr>
      </w:pPr>
    </w:p>
    <w:p w14:paraId="0A601D91" w14:textId="77777777" w:rsidR="00536C5C" w:rsidRPr="00BC24BC" w:rsidRDefault="00536C5C" w:rsidP="00CB1B50">
      <w:pPr>
        <w:spacing w:after="20"/>
        <w:jc w:val="center"/>
        <w:rPr>
          <w:sz w:val="22"/>
          <w:szCs w:val="22"/>
        </w:rPr>
      </w:pPr>
    </w:p>
    <w:p w14:paraId="1820D8D3" w14:textId="77777777" w:rsidR="00A628A2" w:rsidRPr="00A628A2" w:rsidRDefault="00A628A2" w:rsidP="00CB1B50">
      <w:pPr>
        <w:spacing w:after="20"/>
        <w:jc w:val="center"/>
        <w:rPr>
          <w:sz w:val="22"/>
          <w:szCs w:val="22"/>
        </w:rPr>
      </w:pPr>
    </w:p>
    <w:p w14:paraId="0F7E5908" w14:textId="71FA4775" w:rsidR="00AC6FE1" w:rsidRDefault="00746750" w:rsidP="00CB1B50">
      <w:pPr>
        <w:jc w:val="center"/>
      </w:pPr>
      <w:r w:rsidRPr="00536C5C">
        <w:rPr>
          <w:b/>
          <w:bCs/>
          <w:szCs w:val="24"/>
        </w:rPr>
        <w:t>Tabulka 9</w:t>
      </w:r>
      <w:r>
        <w:rPr>
          <w:bCs/>
          <w:szCs w:val="24"/>
        </w:rPr>
        <w:t xml:space="preserve"> - </w:t>
      </w:r>
      <w:r w:rsidR="00AC6FE1" w:rsidRPr="00716050">
        <w:rPr>
          <w:sz w:val="22"/>
          <w:szCs w:val="22"/>
        </w:rPr>
        <w:t xml:space="preserve">Průměrná míra nezaměstnanosti žen i mužů </w:t>
      </w:r>
      <w:r w:rsidR="00AC6FE1" w:rsidRPr="00A21945">
        <w:rPr>
          <w:sz w:val="22"/>
          <w:szCs w:val="22"/>
        </w:rPr>
        <w:t>15 až 24 let a 25 až 64 let</w:t>
      </w:r>
      <w:r w:rsidR="00AC6FE1">
        <w:rPr>
          <w:sz w:val="22"/>
          <w:szCs w:val="22"/>
        </w:rPr>
        <w:t xml:space="preserve"> </w:t>
      </w:r>
      <w:r w:rsidR="00AC6FE1" w:rsidRPr="00716050">
        <w:rPr>
          <w:bCs/>
          <w:sz w:val="22"/>
          <w:szCs w:val="22"/>
        </w:rPr>
        <w:t>v ČR, Polsku a EU (28)</w:t>
      </w:r>
      <w:r w:rsidR="00CB1B50">
        <w:rPr>
          <w:bCs/>
          <w:sz w:val="22"/>
          <w:szCs w:val="22"/>
        </w:rPr>
        <w:t>,</w:t>
      </w:r>
      <w:r w:rsidR="00CB1B50" w:rsidRPr="00CB1B50">
        <w:rPr>
          <w:sz w:val="22"/>
          <w:szCs w:val="22"/>
        </w:rPr>
        <w:t xml:space="preserve"> </w:t>
      </w:r>
      <w:r w:rsidR="00142AE9">
        <w:rPr>
          <w:sz w:val="22"/>
          <w:szCs w:val="22"/>
        </w:rPr>
        <w:t xml:space="preserve">v procentním </w:t>
      </w:r>
      <w:r w:rsidR="00CB1B50">
        <w:rPr>
          <w:sz w:val="22"/>
          <w:szCs w:val="22"/>
        </w:rPr>
        <w:t xml:space="preserve"> vyjádření,</w:t>
      </w:r>
      <w:r w:rsidR="00AC6FE1" w:rsidRPr="00716050">
        <w:rPr>
          <w:bCs/>
          <w:sz w:val="22"/>
          <w:szCs w:val="22"/>
        </w:rPr>
        <w:t xml:space="preserve"> v období 2008-2013</w:t>
      </w:r>
    </w:p>
    <w:p w14:paraId="31DA2D29" w14:textId="08EFE92D" w:rsidR="00746750" w:rsidRDefault="00716050" w:rsidP="00CB1B50">
      <w:pPr>
        <w:spacing w:after="20"/>
        <w:jc w:val="center"/>
        <w:rPr>
          <w:bCs/>
          <w:szCs w:val="24"/>
        </w:rPr>
      </w:pPr>
      <w:r>
        <w:rPr>
          <w:bCs/>
          <w:noProof/>
          <w:szCs w:val="24"/>
          <w:lang w:eastAsia="ja-JP"/>
        </w:rPr>
        <w:drawing>
          <wp:inline distT="0" distB="0" distL="0" distR="0" wp14:anchorId="429ECB67" wp14:editId="75EFBB43">
            <wp:extent cx="5395595" cy="1149985"/>
            <wp:effectExtent l="0" t="0" r="0" b="0"/>
            <wp:docPr id="23" name="Picture 17" descr="Macintosh HD:Users:Peta:Desktop:Tabulky:8. Un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eta:Desktop:Tabulky:8. Unemployment rat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5595" cy="1149985"/>
                    </a:xfrm>
                    <a:prstGeom prst="rect">
                      <a:avLst/>
                    </a:prstGeom>
                    <a:noFill/>
                    <a:ln>
                      <a:noFill/>
                    </a:ln>
                  </pic:spPr>
                </pic:pic>
              </a:graphicData>
            </a:graphic>
          </wp:inline>
        </w:drawing>
      </w:r>
    </w:p>
    <w:p w14:paraId="2C8979EF" w14:textId="77777777" w:rsidR="00AC6FE1" w:rsidRPr="00BC24BC" w:rsidRDefault="00AC6FE1" w:rsidP="00CB1B50">
      <w:pPr>
        <w:spacing w:after="20"/>
        <w:jc w:val="center"/>
        <w:rPr>
          <w:sz w:val="22"/>
          <w:szCs w:val="22"/>
        </w:rPr>
      </w:pPr>
      <w:r>
        <w:rPr>
          <w:sz w:val="22"/>
          <w:szCs w:val="22"/>
        </w:rPr>
        <w:t>Zdroj: Eurostat,</w:t>
      </w:r>
      <w:r w:rsidRPr="00A21945">
        <w:rPr>
          <w:bCs/>
          <w:sz w:val="22"/>
          <w:szCs w:val="22"/>
        </w:rPr>
        <w:t xml:space="preserve"> </w:t>
      </w:r>
      <w:r w:rsidRPr="004C7785">
        <w:rPr>
          <w:sz w:val="22"/>
          <w:szCs w:val="22"/>
        </w:rPr>
        <w:t>Unemployment rate, by sex</w:t>
      </w:r>
      <w:r w:rsidRPr="00A21945">
        <w:rPr>
          <w:sz w:val="22"/>
          <w:szCs w:val="22"/>
        </w:rPr>
        <w:t xml:space="preserve"> </w:t>
      </w:r>
      <w:r>
        <w:rPr>
          <w:sz w:val="22"/>
          <w:szCs w:val="22"/>
        </w:rPr>
        <w:t>(15-24 year old) and</w:t>
      </w:r>
      <w:r w:rsidRPr="00A21945">
        <w:rPr>
          <w:sz w:val="22"/>
          <w:szCs w:val="22"/>
        </w:rPr>
        <w:t xml:space="preserve"> </w:t>
      </w:r>
      <w:r>
        <w:rPr>
          <w:sz w:val="22"/>
          <w:szCs w:val="22"/>
        </w:rPr>
        <w:t>(25-74 year old)</w:t>
      </w:r>
      <w:r w:rsidRPr="00BC24BC">
        <w:rPr>
          <w:sz w:val="22"/>
          <w:szCs w:val="22"/>
        </w:rPr>
        <w:t xml:space="preserve"> (2014), vlastní úprava</w:t>
      </w:r>
    </w:p>
    <w:p w14:paraId="7174D884" w14:textId="77777777" w:rsidR="00AC6FE1" w:rsidRDefault="00AC6FE1" w:rsidP="00CB1B50">
      <w:pPr>
        <w:spacing w:after="20"/>
        <w:jc w:val="center"/>
        <w:rPr>
          <w:bCs/>
          <w:szCs w:val="24"/>
        </w:rPr>
      </w:pPr>
    </w:p>
    <w:p w14:paraId="71C0485C" w14:textId="79F40922" w:rsidR="00746750" w:rsidRPr="00AC6FE1" w:rsidRDefault="00746750" w:rsidP="00CB1B50">
      <w:pPr>
        <w:spacing w:after="20"/>
        <w:jc w:val="center"/>
        <w:rPr>
          <w:sz w:val="22"/>
          <w:szCs w:val="22"/>
        </w:rPr>
      </w:pPr>
      <w:r w:rsidRPr="00536C5C">
        <w:rPr>
          <w:b/>
          <w:bCs/>
          <w:szCs w:val="24"/>
        </w:rPr>
        <w:t>Tabulka 10</w:t>
      </w:r>
      <w:r>
        <w:rPr>
          <w:bCs/>
          <w:szCs w:val="24"/>
        </w:rPr>
        <w:t xml:space="preserve"> – </w:t>
      </w:r>
      <w:r w:rsidR="00AC6FE1" w:rsidRPr="00716050">
        <w:rPr>
          <w:sz w:val="22"/>
          <w:szCs w:val="22"/>
        </w:rPr>
        <w:t xml:space="preserve">Průměrná míra nezaměstnanosti žen i mužů </w:t>
      </w:r>
      <w:r w:rsidR="00AC6FE1" w:rsidRPr="00A21945">
        <w:rPr>
          <w:sz w:val="22"/>
          <w:szCs w:val="22"/>
        </w:rPr>
        <w:t>15 až 24 let a 25 až 64 let</w:t>
      </w:r>
      <w:r w:rsidR="00AC6FE1">
        <w:rPr>
          <w:sz w:val="22"/>
          <w:szCs w:val="22"/>
        </w:rPr>
        <w:t xml:space="preserve"> </w:t>
      </w:r>
      <w:r w:rsidR="00AC6FE1" w:rsidRPr="00716050">
        <w:rPr>
          <w:bCs/>
          <w:sz w:val="22"/>
          <w:szCs w:val="22"/>
        </w:rPr>
        <w:t>v ČR, Polsku a EU (28)</w:t>
      </w:r>
      <w:r w:rsidR="00CB1B50">
        <w:rPr>
          <w:bCs/>
          <w:sz w:val="22"/>
          <w:szCs w:val="22"/>
        </w:rPr>
        <w:t xml:space="preserve">, </w:t>
      </w:r>
      <w:r w:rsidR="00142AE9">
        <w:rPr>
          <w:sz w:val="22"/>
          <w:szCs w:val="22"/>
        </w:rPr>
        <w:t>v procentním</w:t>
      </w:r>
      <w:r w:rsidR="00CB1B50">
        <w:rPr>
          <w:sz w:val="22"/>
          <w:szCs w:val="22"/>
        </w:rPr>
        <w:t xml:space="preserve"> vyjádření,</w:t>
      </w:r>
      <w:r w:rsidR="00AC6FE1" w:rsidRPr="00716050">
        <w:rPr>
          <w:bCs/>
          <w:sz w:val="22"/>
          <w:szCs w:val="22"/>
        </w:rPr>
        <w:t xml:space="preserve"> v období 2008-2013</w:t>
      </w:r>
    </w:p>
    <w:p w14:paraId="6C0F1A17" w14:textId="1B4988AE" w:rsidR="00746750" w:rsidRDefault="00716050" w:rsidP="00CB1B50">
      <w:pPr>
        <w:spacing w:after="20"/>
        <w:jc w:val="center"/>
        <w:rPr>
          <w:bCs/>
          <w:szCs w:val="24"/>
        </w:rPr>
      </w:pPr>
      <w:r>
        <w:rPr>
          <w:bCs/>
          <w:noProof/>
          <w:szCs w:val="24"/>
          <w:lang w:eastAsia="ja-JP"/>
        </w:rPr>
        <w:drawing>
          <wp:inline distT="0" distB="0" distL="0" distR="0" wp14:anchorId="4C1B08B5" wp14:editId="13F0E338">
            <wp:extent cx="5395595" cy="1322070"/>
            <wp:effectExtent l="0" t="0" r="0" b="0"/>
            <wp:docPr id="25" name="Picture 18" descr="Macintosh HD:Users:Peta:Desktop:Tabulky:8-2 un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eta:Desktop:Tabulky:8-2 unemployment rat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5595" cy="1322070"/>
                    </a:xfrm>
                    <a:prstGeom prst="rect">
                      <a:avLst/>
                    </a:prstGeom>
                    <a:noFill/>
                    <a:ln>
                      <a:noFill/>
                    </a:ln>
                  </pic:spPr>
                </pic:pic>
              </a:graphicData>
            </a:graphic>
          </wp:inline>
        </w:drawing>
      </w:r>
    </w:p>
    <w:p w14:paraId="34A29ED4" w14:textId="77777777" w:rsidR="00AC6FE1" w:rsidRPr="00BC24BC" w:rsidRDefault="00AC6FE1" w:rsidP="00CB1B50">
      <w:pPr>
        <w:spacing w:after="20"/>
        <w:jc w:val="center"/>
        <w:rPr>
          <w:sz w:val="22"/>
          <w:szCs w:val="22"/>
        </w:rPr>
      </w:pPr>
      <w:r>
        <w:rPr>
          <w:sz w:val="22"/>
          <w:szCs w:val="22"/>
        </w:rPr>
        <w:t>Zdroj: Eurostat,</w:t>
      </w:r>
      <w:r w:rsidRPr="00A21945">
        <w:rPr>
          <w:bCs/>
          <w:sz w:val="22"/>
          <w:szCs w:val="22"/>
        </w:rPr>
        <w:t xml:space="preserve"> </w:t>
      </w:r>
      <w:r w:rsidRPr="004C7785">
        <w:rPr>
          <w:sz w:val="22"/>
          <w:szCs w:val="22"/>
        </w:rPr>
        <w:t>Unemployment rate, by sex</w:t>
      </w:r>
      <w:r w:rsidRPr="00A21945">
        <w:rPr>
          <w:sz w:val="22"/>
          <w:szCs w:val="22"/>
        </w:rPr>
        <w:t xml:space="preserve"> </w:t>
      </w:r>
      <w:r>
        <w:rPr>
          <w:sz w:val="22"/>
          <w:szCs w:val="22"/>
        </w:rPr>
        <w:t>(15-24 year old) and</w:t>
      </w:r>
      <w:r w:rsidRPr="00A21945">
        <w:rPr>
          <w:sz w:val="22"/>
          <w:szCs w:val="22"/>
        </w:rPr>
        <w:t xml:space="preserve"> </w:t>
      </w:r>
      <w:r>
        <w:rPr>
          <w:sz w:val="22"/>
          <w:szCs w:val="22"/>
        </w:rPr>
        <w:t>(25-74 year old)</w:t>
      </w:r>
      <w:r w:rsidRPr="00BC24BC">
        <w:rPr>
          <w:sz w:val="22"/>
          <w:szCs w:val="22"/>
        </w:rPr>
        <w:t xml:space="preserve"> (2014), vlastní úprava</w:t>
      </w:r>
    </w:p>
    <w:p w14:paraId="3CDE3BA3" w14:textId="77777777" w:rsidR="00AC6FE1" w:rsidRDefault="00AC6FE1" w:rsidP="00CB1B50">
      <w:pPr>
        <w:spacing w:after="20"/>
        <w:jc w:val="center"/>
        <w:rPr>
          <w:bCs/>
          <w:szCs w:val="24"/>
        </w:rPr>
      </w:pPr>
    </w:p>
    <w:p w14:paraId="085178AE" w14:textId="32DE226C" w:rsidR="00AC6FE1" w:rsidRDefault="00746750" w:rsidP="00CB1B50">
      <w:pPr>
        <w:jc w:val="center"/>
      </w:pPr>
      <w:r w:rsidRPr="00536C5C">
        <w:rPr>
          <w:b/>
          <w:bCs/>
          <w:szCs w:val="24"/>
        </w:rPr>
        <w:t>Tabulka 11</w:t>
      </w:r>
      <w:r>
        <w:rPr>
          <w:bCs/>
          <w:szCs w:val="24"/>
        </w:rPr>
        <w:t xml:space="preserve"> - </w:t>
      </w:r>
      <w:r w:rsidR="00AC6FE1">
        <w:rPr>
          <w:sz w:val="22"/>
          <w:szCs w:val="22"/>
        </w:rPr>
        <w:t xml:space="preserve">Míra nezaměstnanosti podle dosaženého vzdělání </w:t>
      </w:r>
      <w:r w:rsidR="00AC6FE1" w:rsidRPr="00A21945">
        <w:rPr>
          <w:sz w:val="22"/>
          <w:szCs w:val="22"/>
        </w:rPr>
        <w:t>v ČR, Polsku a EU (28)</w:t>
      </w:r>
      <w:r w:rsidR="00142AE9">
        <w:rPr>
          <w:sz w:val="22"/>
          <w:szCs w:val="22"/>
        </w:rPr>
        <w:t>, v procentním</w:t>
      </w:r>
      <w:r w:rsidR="00CB1B50">
        <w:rPr>
          <w:sz w:val="22"/>
          <w:szCs w:val="22"/>
        </w:rPr>
        <w:t xml:space="preserve"> vyjádření,</w:t>
      </w:r>
      <w:r w:rsidR="00AC6FE1">
        <w:rPr>
          <w:sz w:val="22"/>
          <w:szCs w:val="22"/>
        </w:rPr>
        <w:t xml:space="preserve"> </w:t>
      </w:r>
      <w:r w:rsidR="00AC6FE1" w:rsidRPr="00716050">
        <w:rPr>
          <w:bCs/>
          <w:sz w:val="22"/>
          <w:szCs w:val="22"/>
        </w:rPr>
        <w:t>v období 2008-2013</w:t>
      </w:r>
    </w:p>
    <w:p w14:paraId="0D3FBED9" w14:textId="236A7C98" w:rsidR="00746750" w:rsidRDefault="00716050" w:rsidP="00CB1B50">
      <w:pPr>
        <w:spacing w:after="20"/>
        <w:jc w:val="center"/>
        <w:rPr>
          <w:bCs/>
          <w:szCs w:val="24"/>
        </w:rPr>
      </w:pPr>
      <w:r>
        <w:rPr>
          <w:bCs/>
          <w:noProof/>
          <w:szCs w:val="24"/>
          <w:lang w:eastAsia="ja-JP"/>
        </w:rPr>
        <w:drawing>
          <wp:inline distT="0" distB="0" distL="0" distR="0" wp14:anchorId="237451EE" wp14:editId="4EB2260C">
            <wp:extent cx="5395595" cy="833120"/>
            <wp:effectExtent l="0" t="0" r="0" b="0"/>
            <wp:docPr id="36" name="Picture 25" descr="Macintosh HD:Users:Peta:Desktop:Tabulky:9.Unemployment rates of the population aged 25-64 by level of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Peta:Desktop:Tabulky:9.Unemployment rates of the population aged 25-64 by level of educatio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5595" cy="833120"/>
                    </a:xfrm>
                    <a:prstGeom prst="rect">
                      <a:avLst/>
                    </a:prstGeom>
                    <a:noFill/>
                    <a:ln>
                      <a:noFill/>
                    </a:ln>
                  </pic:spPr>
                </pic:pic>
              </a:graphicData>
            </a:graphic>
          </wp:inline>
        </w:drawing>
      </w:r>
    </w:p>
    <w:p w14:paraId="38C89DF6" w14:textId="0CF9E903" w:rsidR="00AC6FE1" w:rsidRDefault="00AC6FE1" w:rsidP="00CB1B50">
      <w:pPr>
        <w:jc w:val="center"/>
      </w:pPr>
      <w:r>
        <w:rPr>
          <w:sz w:val="22"/>
          <w:szCs w:val="22"/>
        </w:rPr>
        <w:t xml:space="preserve">Zdroj: </w:t>
      </w:r>
      <w:r w:rsidRPr="00716050">
        <w:rPr>
          <w:sz w:val="22"/>
          <w:szCs w:val="22"/>
        </w:rPr>
        <w:t>Eurostat, Unemployment raste of the population aged 25-64 by level of education, (2014), vlastní úprava</w:t>
      </w:r>
    </w:p>
    <w:p w14:paraId="6A6CCDE3" w14:textId="77777777" w:rsidR="00AC6FE1" w:rsidRPr="00AC6FE1" w:rsidRDefault="00AC6FE1" w:rsidP="00CB1B50">
      <w:pPr>
        <w:jc w:val="center"/>
      </w:pPr>
    </w:p>
    <w:p w14:paraId="148F2AE2" w14:textId="1B55BC6E" w:rsidR="00AC6FE1" w:rsidRDefault="00746750" w:rsidP="00CB1B50">
      <w:pPr>
        <w:jc w:val="center"/>
      </w:pPr>
      <w:r w:rsidRPr="00536C5C">
        <w:rPr>
          <w:b/>
          <w:bCs/>
          <w:szCs w:val="24"/>
        </w:rPr>
        <w:t xml:space="preserve">Tabulka </w:t>
      </w:r>
      <w:r w:rsidR="00AC6FE1" w:rsidRPr="00536C5C">
        <w:rPr>
          <w:b/>
          <w:bCs/>
          <w:szCs w:val="24"/>
        </w:rPr>
        <w:t>12</w:t>
      </w:r>
      <w:r>
        <w:rPr>
          <w:bCs/>
          <w:szCs w:val="24"/>
        </w:rPr>
        <w:t xml:space="preserve"> </w:t>
      </w:r>
      <w:r w:rsidR="00716050">
        <w:rPr>
          <w:bCs/>
          <w:szCs w:val="24"/>
        </w:rPr>
        <w:t>–</w:t>
      </w:r>
      <w:r w:rsidR="00AC6FE1">
        <w:rPr>
          <w:sz w:val="22"/>
          <w:szCs w:val="22"/>
        </w:rPr>
        <w:t xml:space="preserve">Míra nezaměstnanosti podle dosaženého vzdělání </w:t>
      </w:r>
      <w:r w:rsidR="00AC6FE1" w:rsidRPr="00A21945">
        <w:rPr>
          <w:sz w:val="22"/>
          <w:szCs w:val="22"/>
        </w:rPr>
        <w:t>v ČR, Polsku a EU (28)</w:t>
      </w:r>
      <w:r w:rsidR="00142AE9">
        <w:rPr>
          <w:sz w:val="22"/>
          <w:szCs w:val="22"/>
        </w:rPr>
        <w:t>, v procentním vyjádření,</w:t>
      </w:r>
      <w:r w:rsidR="00AC6FE1">
        <w:rPr>
          <w:sz w:val="22"/>
          <w:szCs w:val="22"/>
        </w:rPr>
        <w:t xml:space="preserve"> </w:t>
      </w:r>
      <w:r w:rsidR="00AC6FE1" w:rsidRPr="00716050">
        <w:rPr>
          <w:bCs/>
          <w:sz w:val="22"/>
          <w:szCs w:val="22"/>
        </w:rPr>
        <w:t>v období 2008-2013</w:t>
      </w:r>
    </w:p>
    <w:p w14:paraId="50A7264E" w14:textId="4BFB1896" w:rsidR="00716050" w:rsidRDefault="00716050" w:rsidP="00CB1B50">
      <w:pPr>
        <w:spacing w:after="20"/>
        <w:jc w:val="center"/>
        <w:rPr>
          <w:bCs/>
          <w:szCs w:val="24"/>
        </w:rPr>
      </w:pPr>
      <w:r>
        <w:rPr>
          <w:bCs/>
          <w:noProof/>
          <w:szCs w:val="24"/>
          <w:lang w:eastAsia="ja-JP"/>
        </w:rPr>
        <w:drawing>
          <wp:inline distT="0" distB="0" distL="0" distR="0" wp14:anchorId="2C0EC3AC" wp14:editId="416B49CD">
            <wp:extent cx="5395595" cy="859790"/>
            <wp:effectExtent l="0" t="0" r="0" b="0"/>
            <wp:docPr id="37" name="Picture 26" descr="Macintosh HD:Users:Peta:Desktop:Tabulky:9-2Unemployment rates of the population aged 25-64 by level of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eta:Desktop:Tabulky:9-2Unemployment rates of the population aged 25-64 by level of educatio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5595" cy="859790"/>
                    </a:xfrm>
                    <a:prstGeom prst="rect">
                      <a:avLst/>
                    </a:prstGeom>
                    <a:noFill/>
                    <a:ln>
                      <a:noFill/>
                    </a:ln>
                  </pic:spPr>
                </pic:pic>
              </a:graphicData>
            </a:graphic>
          </wp:inline>
        </w:drawing>
      </w:r>
    </w:p>
    <w:p w14:paraId="6927EB83" w14:textId="77777777" w:rsidR="00AC6FE1" w:rsidRDefault="00AC6FE1" w:rsidP="00CB1B50">
      <w:pPr>
        <w:jc w:val="center"/>
      </w:pPr>
      <w:r>
        <w:rPr>
          <w:sz w:val="22"/>
          <w:szCs w:val="22"/>
        </w:rPr>
        <w:t xml:space="preserve">Zdroj: </w:t>
      </w:r>
      <w:r w:rsidRPr="00716050">
        <w:rPr>
          <w:sz w:val="22"/>
          <w:szCs w:val="22"/>
        </w:rPr>
        <w:t>Eurostat, Unemployment raste of the population aged 25-64 by level of education, (2014), vlastní úprava</w:t>
      </w:r>
    </w:p>
    <w:p w14:paraId="641733B7" w14:textId="2C05A19C" w:rsidR="00AC6FE1" w:rsidRDefault="00AC6FE1" w:rsidP="00CB1B50">
      <w:pPr>
        <w:spacing w:after="20"/>
        <w:jc w:val="center"/>
        <w:rPr>
          <w:bCs/>
          <w:szCs w:val="24"/>
        </w:rPr>
      </w:pPr>
    </w:p>
    <w:p w14:paraId="245B0B89" w14:textId="77777777" w:rsidR="00536C5C" w:rsidRDefault="00536C5C" w:rsidP="00CB1B50">
      <w:pPr>
        <w:spacing w:after="20"/>
        <w:jc w:val="center"/>
        <w:rPr>
          <w:bCs/>
          <w:szCs w:val="24"/>
        </w:rPr>
      </w:pPr>
    </w:p>
    <w:p w14:paraId="53D641AA" w14:textId="77777777" w:rsidR="00536C5C" w:rsidRDefault="00536C5C" w:rsidP="00CB1B50">
      <w:pPr>
        <w:spacing w:after="20"/>
        <w:jc w:val="center"/>
        <w:rPr>
          <w:bCs/>
          <w:szCs w:val="24"/>
        </w:rPr>
      </w:pPr>
    </w:p>
    <w:p w14:paraId="5DA1E7C1" w14:textId="77777777" w:rsidR="00536C5C" w:rsidRDefault="00536C5C" w:rsidP="00CB1B50">
      <w:pPr>
        <w:spacing w:after="20"/>
        <w:jc w:val="center"/>
        <w:rPr>
          <w:bCs/>
          <w:szCs w:val="24"/>
        </w:rPr>
      </w:pPr>
    </w:p>
    <w:p w14:paraId="479860FB" w14:textId="0699A3C3" w:rsidR="00716050" w:rsidRPr="00AC6FE1" w:rsidRDefault="00716050" w:rsidP="00CB1B50">
      <w:pPr>
        <w:jc w:val="center"/>
      </w:pPr>
      <w:r w:rsidRPr="00536C5C">
        <w:rPr>
          <w:b/>
          <w:bCs/>
          <w:szCs w:val="24"/>
        </w:rPr>
        <w:t xml:space="preserve">Tabulka </w:t>
      </w:r>
      <w:r w:rsidR="00AC6FE1" w:rsidRPr="00536C5C">
        <w:rPr>
          <w:b/>
          <w:bCs/>
          <w:szCs w:val="24"/>
        </w:rPr>
        <w:t>13</w:t>
      </w:r>
      <w:r>
        <w:rPr>
          <w:bCs/>
          <w:szCs w:val="24"/>
        </w:rPr>
        <w:t xml:space="preserve"> - </w:t>
      </w:r>
      <w:r w:rsidR="00AC6FE1">
        <w:rPr>
          <w:sz w:val="22"/>
          <w:szCs w:val="22"/>
        </w:rPr>
        <w:t xml:space="preserve">Míra nezaměstnanosti podle dosaženého vzdělání </w:t>
      </w:r>
      <w:r w:rsidR="00AC6FE1" w:rsidRPr="00A21945">
        <w:rPr>
          <w:sz w:val="22"/>
          <w:szCs w:val="22"/>
        </w:rPr>
        <w:t>v ČR, Polsku a EU (28)</w:t>
      </w:r>
      <w:r w:rsidR="00142AE9">
        <w:rPr>
          <w:sz w:val="22"/>
          <w:szCs w:val="22"/>
        </w:rPr>
        <w:t xml:space="preserve">, v procentuálním vyjádření, </w:t>
      </w:r>
      <w:r w:rsidR="00AC6FE1" w:rsidRPr="00716050">
        <w:rPr>
          <w:bCs/>
          <w:sz w:val="22"/>
          <w:szCs w:val="22"/>
        </w:rPr>
        <w:t>v období 2008-2013</w:t>
      </w:r>
    </w:p>
    <w:p w14:paraId="6726CEB8" w14:textId="01C24B22" w:rsidR="00716050" w:rsidRDefault="00716050" w:rsidP="00CB1B50">
      <w:pPr>
        <w:spacing w:after="20"/>
        <w:jc w:val="center"/>
        <w:rPr>
          <w:bCs/>
          <w:szCs w:val="24"/>
        </w:rPr>
      </w:pPr>
      <w:r>
        <w:rPr>
          <w:bCs/>
          <w:noProof/>
          <w:szCs w:val="24"/>
          <w:lang w:eastAsia="ja-JP"/>
        </w:rPr>
        <w:drawing>
          <wp:inline distT="0" distB="0" distL="0" distR="0" wp14:anchorId="258CF2D4" wp14:editId="0C67B61E">
            <wp:extent cx="5395595" cy="488950"/>
            <wp:effectExtent l="0" t="0" r="0" b="0"/>
            <wp:docPr id="38" name="Picture 27" descr="Macintosh HD:Users:Peta:Desktop:Tabulky:9-3Unemployment rates of the population aged 25-64 by level of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eta:Desktop:Tabulky:9-3Unemployment rates of the population aged 25-64 by level of educatio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5595" cy="488950"/>
                    </a:xfrm>
                    <a:prstGeom prst="rect">
                      <a:avLst/>
                    </a:prstGeom>
                    <a:noFill/>
                    <a:ln>
                      <a:noFill/>
                    </a:ln>
                  </pic:spPr>
                </pic:pic>
              </a:graphicData>
            </a:graphic>
          </wp:inline>
        </w:drawing>
      </w:r>
    </w:p>
    <w:p w14:paraId="0CCD3394" w14:textId="77777777" w:rsidR="00AC6FE1" w:rsidRDefault="00AC6FE1" w:rsidP="00CB1B50">
      <w:pPr>
        <w:jc w:val="center"/>
      </w:pPr>
      <w:r>
        <w:rPr>
          <w:sz w:val="22"/>
          <w:szCs w:val="22"/>
        </w:rPr>
        <w:t xml:space="preserve">Zdroj: </w:t>
      </w:r>
      <w:r w:rsidRPr="00716050">
        <w:rPr>
          <w:sz w:val="22"/>
          <w:szCs w:val="22"/>
        </w:rPr>
        <w:t>Eurostat, Unemployment raste of the population aged 25-64 by level of education, (2014), vlastní úprava</w:t>
      </w:r>
    </w:p>
    <w:p w14:paraId="4AB49537" w14:textId="77777777" w:rsidR="00AC6FE1" w:rsidRDefault="00AC6FE1" w:rsidP="00CB1B50">
      <w:pPr>
        <w:spacing w:after="20"/>
        <w:jc w:val="center"/>
        <w:rPr>
          <w:bCs/>
          <w:szCs w:val="24"/>
        </w:rPr>
      </w:pPr>
    </w:p>
    <w:p w14:paraId="28A7DAA6" w14:textId="28501B60" w:rsidR="00AC6FE1" w:rsidRDefault="00716050" w:rsidP="00CB1B50">
      <w:pPr>
        <w:jc w:val="center"/>
      </w:pPr>
      <w:r w:rsidRPr="00536C5C">
        <w:rPr>
          <w:b/>
          <w:bCs/>
          <w:szCs w:val="24"/>
        </w:rPr>
        <w:t xml:space="preserve">Tabulka </w:t>
      </w:r>
      <w:r w:rsidR="00AC6FE1" w:rsidRPr="00536C5C">
        <w:rPr>
          <w:b/>
          <w:bCs/>
          <w:szCs w:val="24"/>
        </w:rPr>
        <w:t>14</w:t>
      </w:r>
      <w:r>
        <w:rPr>
          <w:bCs/>
          <w:szCs w:val="24"/>
        </w:rPr>
        <w:t xml:space="preserve"> - </w:t>
      </w:r>
      <w:r w:rsidR="00AC6FE1" w:rsidRPr="00716050">
        <w:rPr>
          <w:bCs/>
          <w:sz w:val="22"/>
          <w:szCs w:val="22"/>
        </w:rPr>
        <w:t>Míra zaměstnanosti starších pracovníků (55-64let) podle pohlaví v ČR, Polsku a EU (28)</w:t>
      </w:r>
      <w:r w:rsidR="00142AE9">
        <w:rPr>
          <w:bCs/>
          <w:sz w:val="22"/>
          <w:szCs w:val="22"/>
        </w:rPr>
        <w:t xml:space="preserve">, </w:t>
      </w:r>
      <w:r w:rsidR="00142AE9">
        <w:rPr>
          <w:sz w:val="22"/>
          <w:szCs w:val="22"/>
        </w:rPr>
        <w:t>v procentuálním vyjádření,</w:t>
      </w:r>
      <w:r w:rsidR="00AC6FE1" w:rsidRPr="00716050">
        <w:rPr>
          <w:bCs/>
          <w:sz w:val="22"/>
          <w:szCs w:val="22"/>
        </w:rPr>
        <w:t xml:space="preserve"> </w:t>
      </w:r>
      <w:r w:rsidR="00AC6FE1" w:rsidRPr="00716050">
        <w:rPr>
          <w:rStyle w:val="Siln"/>
          <w:b w:val="0"/>
          <w:sz w:val="22"/>
          <w:szCs w:val="22"/>
        </w:rPr>
        <w:t>v období 2008-2013</w:t>
      </w:r>
    </w:p>
    <w:p w14:paraId="37756DFB" w14:textId="51A119B1" w:rsidR="00716050" w:rsidRDefault="00716050" w:rsidP="00CB1B50">
      <w:pPr>
        <w:spacing w:after="20"/>
        <w:jc w:val="center"/>
        <w:rPr>
          <w:bCs/>
          <w:szCs w:val="24"/>
        </w:rPr>
      </w:pPr>
      <w:r>
        <w:rPr>
          <w:bCs/>
          <w:noProof/>
          <w:szCs w:val="24"/>
          <w:lang w:eastAsia="ja-JP"/>
        </w:rPr>
        <w:drawing>
          <wp:inline distT="0" distB="0" distL="0" distR="0" wp14:anchorId="5D1B93E7" wp14:editId="37ABB73B">
            <wp:extent cx="5386705" cy="805815"/>
            <wp:effectExtent l="0" t="0" r="0" b="0"/>
            <wp:docPr id="39" name="Picture 28" descr="Macintosh HD:Users:Peta:Desktop:Tabulky:10Employment rate of older workers- mu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Peta:Desktop:Tabulky:10Employment rate of older workers- muži.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6705" cy="805815"/>
                    </a:xfrm>
                    <a:prstGeom prst="rect">
                      <a:avLst/>
                    </a:prstGeom>
                    <a:noFill/>
                    <a:ln>
                      <a:noFill/>
                    </a:ln>
                  </pic:spPr>
                </pic:pic>
              </a:graphicData>
            </a:graphic>
          </wp:inline>
        </w:drawing>
      </w:r>
    </w:p>
    <w:p w14:paraId="7851C253" w14:textId="77777777" w:rsidR="00AC6FE1" w:rsidRDefault="00AC6FE1" w:rsidP="00CB1B50">
      <w:pPr>
        <w:spacing w:after="20"/>
        <w:jc w:val="center"/>
        <w:rPr>
          <w:bCs/>
          <w:sz w:val="22"/>
          <w:szCs w:val="22"/>
        </w:rPr>
      </w:pPr>
      <w:r w:rsidRPr="00EB1F47">
        <w:rPr>
          <w:sz w:val="22"/>
          <w:szCs w:val="22"/>
        </w:rPr>
        <w:t xml:space="preserve">Zdroj: Eurostat, </w:t>
      </w:r>
      <w:r w:rsidRPr="004C7785">
        <w:rPr>
          <w:bCs/>
          <w:sz w:val="22"/>
          <w:szCs w:val="22"/>
        </w:rPr>
        <w:t xml:space="preserve">Employment rate of older workers by gender </w:t>
      </w:r>
      <w:r w:rsidRPr="00EB1F47">
        <w:rPr>
          <w:bCs/>
          <w:sz w:val="22"/>
          <w:szCs w:val="22"/>
        </w:rPr>
        <w:t>(2014), vlastní úprava</w:t>
      </w:r>
    </w:p>
    <w:p w14:paraId="7FB83C05" w14:textId="77777777" w:rsidR="00030B57" w:rsidRPr="00EB1F47" w:rsidRDefault="00030B57" w:rsidP="00CB1B50">
      <w:pPr>
        <w:spacing w:after="20"/>
        <w:jc w:val="center"/>
        <w:rPr>
          <w:bCs/>
          <w:sz w:val="22"/>
          <w:szCs w:val="22"/>
        </w:rPr>
      </w:pPr>
    </w:p>
    <w:p w14:paraId="0C64988B" w14:textId="06776B97" w:rsidR="00AC6FE1" w:rsidRDefault="00716050" w:rsidP="00CB1B50">
      <w:pPr>
        <w:jc w:val="center"/>
      </w:pPr>
      <w:r w:rsidRPr="00536C5C">
        <w:rPr>
          <w:b/>
          <w:bCs/>
          <w:szCs w:val="24"/>
        </w:rPr>
        <w:t xml:space="preserve">Tabulka </w:t>
      </w:r>
      <w:r w:rsidR="00AC6FE1" w:rsidRPr="00536C5C">
        <w:rPr>
          <w:b/>
          <w:bCs/>
          <w:szCs w:val="24"/>
        </w:rPr>
        <w:t>15</w:t>
      </w:r>
      <w:r>
        <w:rPr>
          <w:bCs/>
          <w:szCs w:val="24"/>
        </w:rPr>
        <w:t xml:space="preserve"> - </w:t>
      </w:r>
      <w:r w:rsidR="00AC6FE1" w:rsidRPr="00716050">
        <w:rPr>
          <w:bCs/>
          <w:sz w:val="22"/>
          <w:szCs w:val="22"/>
        </w:rPr>
        <w:t>Míra zaměstnanosti starších pracovníků (55-64let) podle pohlaví v ČR, Polsku a EU (28)</w:t>
      </w:r>
      <w:r w:rsidR="00142AE9">
        <w:rPr>
          <w:bCs/>
          <w:sz w:val="22"/>
          <w:szCs w:val="22"/>
        </w:rPr>
        <w:t xml:space="preserve">, </w:t>
      </w:r>
      <w:r w:rsidR="00142AE9">
        <w:rPr>
          <w:sz w:val="22"/>
          <w:szCs w:val="22"/>
        </w:rPr>
        <w:t>v procentuálním vyjádření,</w:t>
      </w:r>
      <w:r w:rsidR="00AC6FE1" w:rsidRPr="00716050">
        <w:rPr>
          <w:bCs/>
          <w:sz w:val="22"/>
          <w:szCs w:val="22"/>
        </w:rPr>
        <w:t xml:space="preserve"> </w:t>
      </w:r>
      <w:r w:rsidR="00AC6FE1" w:rsidRPr="00716050">
        <w:rPr>
          <w:rStyle w:val="Siln"/>
          <w:b w:val="0"/>
          <w:sz w:val="22"/>
          <w:szCs w:val="22"/>
        </w:rPr>
        <w:t>v období 2008-2013</w:t>
      </w:r>
    </w:p>
    <w:p w14:paraId="07AD5F65" w14:textId="06B6A7CF" w:rsidR="00716050" w:rsidRDefault="00716050" w:rsidP="00CB1B50">
      <w:pPr>
        <w:spacing w:after="20"/>
        <w:jc w:val="center"/>
        <w:rPr>
          <w:bCs/>
          <w:szCs w:val="24"/>
        </w:rPr>
      </w:pPr>
      <w:r>
        <w:rPr>
          <w:bCs/>
          <w:noProof/>
          <w:szCs w:val="24"/>
          <w:lang w:eastAsia="ja-JP"/>
        </w:rPr>
        <w:drawing>
          <wp:inline distT="0" distB="0" distL="0" distR="0" wp14:anchorId="0D57DC48" wp14:editId="3B675863">
            <wp:extent cx="5386705" cy="823595"/>
            <wp:effectExtent l="0" t="0" r="0" b="0"/>
            <wp:docPr id="42" name="Picture 31" descr="Macintosh HD:Users:Peta:Desktop:Tabulky:10 Employment rate of older workers- ž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Peta:Desktop:Tabulky:10 Employment rate of older workers- ženy.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6705" cy="823595"/>
                    </a:xfrm>
                    <a:prstGeom prst="rect">
                      <a:avLst/>
                    </a:prstGeom>
                    <a:noFill/>
                    <a:ln>
                      <a:noFill/>
                    </a:ln>
                  </pic:spPr>
                </pic:pic>
              </a:graphicData>
            </a:graphic>
          </wp:inline>
        </w:drawing>
      </w:r>
    </w:p>
    <w:p w14:paraId="6E0C6CEB" w14:textId="77777777" w:rsidR="00AC6FE1" w:rsidRPr="00EB1F47" w:rsidRDefault="00AC6FE1" w:rsidP="00CB1B50">
      <w:pPr>
        <w:spacing w:after="20"/>
        <w:jc w:val="center"/>
        <w:rPr>
          <w:bCs/>
          <w:sz w:val="22"/>
          <w:szCs w:val="22"/>
        </w:rPr>
      </w:pPr>
      <w:r w:rsidRPr="00EB1F47">
        <w:rPr>
          <w:sz w:val="22"/>
          <w:szCs w:val="22"/>
        </w:rPr>
        <w:t xml:space="preserve">Zdroj: Eurostat, </w:t>
      </w:r>
      <w:r w:rsidRPr="004C7785">
        <w:rPr>
          <w:bCs/>
          <w:sz w:val="22"/>
          <w:szCs w:val="22"/>
        </w:rPr>
        <w:t xml:space="preserve">Employment rate of older workers by gender </w:t>
      </w:r>
      <w:r w:rsidRPr="00EB1F47">
        <w:rPr>
          <w:bCs/>
          <w:sz w:val="22"/>
          <w:szCs w:val="22"/>
        </w:rPr>
        <w:t>(2014), vlastní úprava</w:t>
      </w:r>
    </w:p>
    <w:p w14:paraId="427DC572" w14:textId="77777777" w:rsidR="00AC6FE1" w:rsidRDefault="00AC6FE1" w:rsidP="00CB1B50">
      <w:pPr>
        <w:spacing w:after="20"/>
        <w:jc w:val="center"/>
        <w:rPr>
          <w:bCs/>
          <w:szCs w:val="24"/>
        </w:rPr>
      </w:pPr>
    </w:p>
    <w:p w14:paraId="796806F1" w14:textId="676BA2C3" w:rsidR="00AC6FE1" w:rsidRDefault="00716050" w:rsidP="00CB1B50">
      <w:pPr>
        <w:jc w:val="center"/>
      </w:pPr>
      <w:r w:rsidRPr="00536C5C">
        <w:rPr>
          <w:b/>
          <w:bCs/>
          <w:szCs w:val="24"/>
        </w:rPr>
        <w:t xml:space="preserve">Tabulka </w:t>
      </w:r>
      <w:r w:rsidR="00AC6FE1" w:rsidRPr="00536C5C">
        <w:rPr>
          <w:b/>
          <w:bCs/>
          <w:szCs w:val="24"/>
        </w:rPr>
        <w:t>16</w:t>
      </w:r>
      <w:r>
        <w:rPr>
          <w:bCs/>
          <w:szCs w:val="24"/>
        </w:rPr>
        <w:t xml:space="preserve"> - </w:t>
      </w:r>
      <w:r w:rsidR="00AC6FE1" w:rsidRPr="00716050">
        <w:rPr>
          <w:rStyle w:val="Siln"/>
          <w:b w:val="0"/>
          <w:bCs w:val="0"/>
          <w:sz w:val="22"/>
          <w:szCs w:val="22"/>
        </w:rPr>
        <w:t>Produktivita práce v ČR, Polsku a EU (28),</w:t>
      </w:r>
      <w:r w:rsidR="00142AE9" w:rsidRPr="00142AE9">
        <w:t xml:space="preserve"> </w:t>
      </w:r>
      <w:r w:rsidR="00142AE9" w:rsidRPr="00142AE9">
        <w:rPr>
          <w:rStyle w:val="Siln"/>
          <w:b w:val="0"/>
          <w:bCs w:val="0"/>
          <w:sz w:val="22"/>
          <w:szCs w:val="22"/>
        </w:rPr>
        <w:t>vyjádřených ve vztahu k průměru Evropské unie</w:t>
      </w:r>
      <w:r w:rsidR="00142AE9">
        <w:rPr>
          <w:rStyle w:val="Siln"/>
          <w:b w:val="0"/>
          <w:bCs w:val="0"/>
          <w:sz w:val="22"/>
          <w:szCs w:val="22"/>
        </w:rPr>
        <w:t>,</w:t>
      </w:r>
      <w:r w:rsidR="00142AE9" w:rsidRPr="00716050">
        <w:rPr>
          <w:rStyle w:val="Siln"/>
          <w:b w:val="0"/>
          <w:bCs w:val="0"/>
          <w:sz w:val="22"/>
          <w:szCs w:val="22"/>
        </w:rPr>
        <w:t xml:space="preserve"> </w:t>
      </w:r>
      <w:r w:rsidR="00AC6FE1" w:rsidRPr="00716050">
        <w:rPr>
          <w:rStyle w:val="Siln"/>
          <w:b w:val="0"/>
          <w:bCs w:val="0"/>
          <w:sz w:val="22"/>
          <w:szCs w:val="22"/>
        </w:rPr>
        <w:t>v období 2008-2013</w:t>
      </w:r>
    </w:p>
    <w:p w14:paraId="7A9036D0" w14:textId="574A9443" w:rsidR="00716050" w:rsidRDefault="00716050" w:rsidP="00CB1B50">
      <w:pPr>
        <w:spacing w:after="20"/>
        <w:jc w:val="center"/>
        <w:rPr>
          <w:bCs/>
          <w:szCs w:val="24"/>
        </w:rPr>
      </w:pPr>
      <w:r>
        <w:rPr>
          <w:bCs/>
          <w:noProof/>
          <w:szCs w:val="24"/>
          <w:lang w:eastAsia="ja-JP"/>
        </w:rPr>
        <w:drawing>
          <wp:inline distT="0" distB="0" distL="0" distR="0" wp14:anchorId="2DD3639E" wp14:editId="0D1E1CFB">
            <wp:extent cx="5395595" cy="833120"/>
            <wp:effectExtent l="0" t="0" r="0" b="0"/>
            <wp:docPr id="43" name="Picture 32" descr="Macintosh HD:Users:Peta:Desktop:Tabulky:11 Labour productivity per hour wo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Peta:Desktop:Tabulky:11 Labour productivity per hour worke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5595" cy="833120"/>
                    </a:xfrm>
                    <a:prstGeom prst="rect">
                      <a:avLst/>
                    </a:prstGeom>
                    <a:noFill/>
                    <a:ln>
                      <a:noFill/>
                    </a:ln>
                  </pic:spPr>
                </pic:pic>
              </a:graphicData>
            </a:graphic>
          </wp:inline>
        </w:drawing>
      </w:r>
    </w:p>
    <w:p w14:paraId="55B3094E" w14:textId="77777777" w:rsidR="00AC6FE1" w:rsidRDefault="00AC6FE1" w:rsidP="00CB1B50">
      <w:pPr>
        <w:jc w:val="center"/>
      </w:pPr>
      <w:r>
        <w:rPr>
          <w:bCs/>
          <w:sz w:val="22"/>
          <w:szCs w:val="22"/>
        </w:rPr>
        <w:t xml:space="preserve">Zdroj: </w:t>
      </w:r>
      <w:r w:rsidRPr="00EB1F47">
        <w:rPr>
          <w:bCs/>
          <w:sz w:val="22"/>
          <w:szCs w:val="22"/>
        </w:rPr>
        <w:t xml:space="preserve">Eurostat, </w:t>
      </w:r>
      <w:r w:rsidRPr="004C7785">
        <w:rPr>
          <w:bCs/>
          <w:sz w:val="22"/>
          <w:szCs w:val="22"/>
        </w:rPr>
        <w:t xml:space="preserve">Labour productivity per hour worked </w:t>
      </w:r>
      <w:r w:rsidRPr="00EB1F47">
        <w:rPr>
          <w:bCs/>
          <w:sz w:val="22"/>
          <w:szCs w:val="22"/>
        </w:rPr>
        <w:t>(2014), vlastní úprava</w:t>
      </w:r>
    </w:p>
    <w:p w14:paraId="6B6325EE" w14:textId="77777777" w:rsidR="00AC6FE1" w:rsidRDefault="00AC6FE1" w:rsidP="00CB1B50">
      <w:pPr>
        <w:spacing w:after="20"/>
        <w:jc w:val="center"/>
        <w:rPr>
          <w:bCs/>
          <w:szCs w:val="24"/>
        </w:rPr>
      </w:pPr>
    </w:p>
    <w:p w14:paraId="776D100B" w14:textId="73607904" w:rsidR="00AC6FE1" w:rsidRDefault="00716050" w:rsidP="00CB1B50">
      <w:pPr>
        <w:jc w:val="center"/>
      </w:pPr>
      <w:r w:rsidRPr="00536C5C">
        <w:rPr>
          <w:b/>
          <w:bCs/>
          <w:szCs w:val="24"/>
        </w:rPr>
        <w:t xml:space="preserve">Tabulka </w:t>
      </w:r>
      <w:r w:rsidR="00AC6FE1" w:rsidRPr="00536C5C">
        <w:rPr>
          <w:b/>
          <w:bCs/>
          <w:szCs w:val="24"/>
        </w:rPr>
        <w:t>17</w:t>
      </w:r>
      <w:r>
        <w:rPr>
          <w:bCs/>
          <w:szCs w:val="24"/>
        </w:rPr>
        <w:t xml:space="preserve"> </w:t>
      </w:r>
      <w:r w:rsidR="00AC6FE1">
        <w:rPr>
          <w:bCs/>
          <w:szCs w:val="24"/>
        </w:rPr>
        <w:t>–</w:t>
      </w:r>
      <w:r>
        <w:rPr>
          <w:bCs/>
          <w:szCs w:val="24"/>
        </w:rPr>
        <w:t xml:space="preserve"> </w:t>
      </w:r>
      <w:r w:rsidR="00AC6FE1" w:rsidRPr="00716050">
        <w:rPr>
          <w:bCs/>
          <w:sz w:val="22"/>
          <w:szCs w:val="22"/>
        </w:rPr>
        <w:t>Doba trvání pracovního života podle pohlaví v ČR, Polsku a EU (28)</w:t>
      </w:r>
      <w:r w:rsidR="00142AE9">
        <w:rPr>
          <w:bCs/>
          <w:sz w:val="22"/>
          <w:szCs w:val="22"/>
        </w:rPr>
        <w:t>, vyjádřena v letech,</w:t>
      </w:r>
      <w:r w:rsidR="00AC6FE1" w:rsidRPr="00716050">
        <w:rPr>
          <w:bCs/>
          <w:sz w:val="22"/>
          <w:szCs w:val="22"/>
        </w:rPr>
        <w:t xml:space="preserve"> v období 2008-2012</w:t>
      </w:r>
    </w:p>
    <w:p w14:paraId="01E4A1AB" w14:textId="2F3AD3B0" w:rsidR="00716050" w:rsidRDefault="00716050" w:rsidP="00CB1B50">
      <w:pPr>
        <w:spacing w:after="20"/>
        <w:jc w:val="center"/>
        <w:rPr>
          <w:bCs/>
          <w:szCs w:val="24"/>
        </w:rPr>
      </w:pPr>
      <w:r>
        <w:rPr>
          <w:bCs/>
          <w:noProof/>
          <w:szCs w:val="24"/>
          <w:lang w:eastAsia="ja-JP"/>
        </w:rPr>
        <w:drawing>
          <wp:inline distT="0" distB="0" distL="0" distR="0" wp14:anchorId="5D147E1F" wp14:editId="7BBA256D">
            <wp:extent cx="5386705" cy="1231265"/>
            <wp:effectExtent l="0" t="0" r="0" b="0"/>
            <wp:docPr id="44" name="Picture 33" descr="Macintosh HD:Users:Peta:Desktop:Tabulky:11Average exit age from the labour force by gender- mu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eta:Desktop:Tabulky:11Average exit age from the labour force by gender- muž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86705" cy="1231265"/>
                    </a:xfrm>
                    <a:prstGeom prst="rect">
                      <a:avLst/>
                    </a:prstGeom>
                    <a:noFill/>
                    <a:ln>
                      <a:noFill/>
                    </a:ln>
                  </pic:spPr>
                </pic:pic>
              </a:graphicData>
            </a:graphic>
          </wp:inline>
        </w:drawing>
      </w:r>
    </w:p>
    <w:p w14:paraId="35D33E84" w14:textId="77777777" w:rsidR="00536C5C" w:rsidRPr="00EB1F47" w:rsidRDefault="00536C5C" w:rsidP="00CB1B50">
      <w:pPr>
        <w:spacing w:after="20"/>
        <w:jc w:val="center"/>
        <w:rPr>
          <w:bCs/>
          <w:sz w:val="22"/>
          <w:szCs w:val="22"/>
        </w:rPr>
      </w:pPr>
      <w:r w:rsidRPr="00EB1F47">
        <w:rPr>
          <w:bCs/>
          <w:sz w:val="22"/>
          <w:szCs w:val="22"/>
        </w:rPr>
        <w:t xml:space="preserve">Zdroj: Eutosta, </w:t>
      </w:r>
      <w:r w:rsidRPr="004C7785">
        <w:rPr>
          <w:bCs/>
          <w:sz w:val="22"/>
          <w:szCs w:val="22"/>
        </w:rPr>
        <w:t xml:space="preserve">Average exit age from the labour force by gender </w:t>
      </w:r>
      <w:r w:rsidRPr="00EB1F47">
        <w:rPr>
          <w:bCs/>
          <w:sz w:val="22"/>
          <w:szCs w:val="22"/>
        </w:rPr>
        <w:t>(2014), vlastní úprava</w:t>
      </w:r>
    </w:p>
    <w:p w14:paraId="6F83FECF" w14:textId="77777777" w:rsidR="00536C5C" w:rsidRDefault="00536C5C" w:rsidP="00CB1B50">
      <w:pPr>
        <w:spacing w:after="20"/>
        <w:jc w:val="center"/>
        <w:rPr>
          <w:bCs/>
          <w:szCs w:val="24"/>
        </w:rPr>
      </w:pPr>
    </w:p>
    <w:p w14:paraId="2744BE84" w14:textId="77777777" w:rsidR="00536C5C" w:rsidRDefault="00536C5C" w:rsidP="00CB1B50">
      <w:pPr>
        <w:spacing w:after="20"/>
        <w:jc w:val="center"/>
        <w:rPr>
          <w:bCs/>
          <w:szCs w:val="24"/>
        </w:rPr>
      </w:pPr>
    </w:p>
    <w:p w14:paraId="134D9AE8" w14:textId="77777777" w:rsidR="00536C5C" w:rsidRDefault="00536C5C" w:rsidP="00CB1B50">
      <w:pPr>
        <w:spacing w:after="20"/>
        <w:jc w:val="center"/>
        <w:rPr>
          <w:bCs/>
          <w:szCs w:val="24"/>
        </w:rPr>
      </w:pPr>
    </w:p>
    <w:p w14:paraId="233C7EAA" w14:textId="77777777" w:rsidR="00536C5C" w:rsidRDefault="00536C5C" w:rsidP="00CB1B50">
      <w:pPr>
        <w:spacing w:after="20"/>
        <w:jc w:val="center"/>
        <w:rPr>
          <w:bCs/>
          <w:szCs w:val="24"/>
        </w:rPr>
      </w:pPr>
    </w:p>
    <w:p w14:paraId="2599F033" w14:textId="6D0EB58C" w:rsidR="00716050" w:rsidRDefault="00716050" w:rsidP="00CB1B50">
      <w:pPr>
        <w:spacing w:after="20"/>
        <w:jc w:val="center"/>
        <w:rPr>
          <w:bCs/>
          <w:szCs w:val="24"/>
        </w:rPr>
      </w:pPr>
      <w:r w:rsidRPr="00536C5C">
        <w:rPr>
          <w:b/>
          <w:bCs/>
          <w:szCs w:val="24"/>
        </w:rPr>
        <w:t xml:space="preserve">Tabulka </w:t>
      </w:r>
      <w:r w:rsidR="00AC6FE1" w:rsidRPr="00536C5C">
        <w:rPr>
          <w:b/>
          <w:bCs/>
          <w:szCs w:val="24"/>
        </w:rPr>
        <w:t>18</w:t>
      </w:r>
      <w:r>
        <w:rPr>
          <w:bCs/>
          <w:szCs w:val="24"/>
        </w:rPr>
        <w:t xml:space="preserve"> - </w:t>
      </w:r>
      <w:r w:rsidR="00536C5C" w:rsidRPr="00716050">
        <w:rPr>
          <w:bCs/>
          <w:sz w:val="22"/>
          <w:szCs w:val="22"/>
        </w:rPr>
        <w:t>Doba trvání pracovního života podle pohlaví v ČR, Polsku a EU (28)</w:t>
      </w:r>
      <w:r w:rsidR="00142AE9">
        <w:rPr>
          <w:bCs/>
          <w:sz w:val="22"/>
          <w:szCs w:val="22"/>
        </w:rPr>
        <w:t>, vyjádřena v letech,</w:t>
      </w:r>
      <w:r w:rsidR="00536C5C" w:rsidRPr="00716050">
        <w:rPr>
          <w:bCs/>
          <w:sz w:val="22"/>
          <w:szCs w:val="22"/>
        </w:rPr>
        <w:t xml:space="preserve"> v období 2008-2012</w:t>
      </w:r>
    </w:p>
    <w:p w14:paraId="0BC1D1CA" w14:textId="139DE6A7" w:rsidR="00716050" w:rsidRDefault="00716050" w:rsidP="00CB1B50">
      <w:pPr>
        <w:spacing w:after="20"/>
        <w:jc w:val="center"/>
        <w:rPr>
          <w:bCs/>
          <w:szCs w:val="24"/>
        </w:rPr>
      </w:pPr>
      <w:r>
        <w:rPr>
          <w:bCs/>
          <w:noProof/>
          <w:szCs w:val="24"/>
          <w:lang w:eastAsia="ja-JP"/>
        </w:rPr>
        <w:drawing>
          <wp:inline distT="0" distB="0" distL="0" distR="0" wp14:anchorId="3B0501E5" wp14:editId="644A5B50">
            <wp:extent cx="5395595" cy="1258570"/>
            <wp:effectExtent l="0" t="0" r="0" b="0"/>
            <wp:docPr id="45" name="Picture 34" descr="Macintosh HD:Users:Peta:Desktop:Tabulky:11-2Average exit age from the labour force by gender- ž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Peta:Desktop:Tabulky:11-2Average exit age from the labour force by gender- ženy.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5595" cy="1258570"/>
                    </a:xfrm>
                    <a:prstGeom prst="rect">
                      <a:avLst/>
                    </a:prstGeom>
                    <a:noFill/>
                    <a:ln>
                      <a:noFill/>
                    </a:ln>
                  </pic:spPr>
                </pic:pic>
              </a:graphicData>
            </a:graphic>
          </wp:inline>
        </w:drawing>
      </w:r>
    </w:p>
    <w:p w14:paraId="71B13DB7" w14:textId="77777777" w:rsidR="00536C5C" w:rsidRPr="00EB1F47" w:rsidRDefault="00536C5C" w:rsidP="00CB1B50">
      <w:pPr>
        <w:spacing w:after="20"/>
        <w:jc w:val="center"/>
        <w:rPr>
          <w:bCs/>
          <w:sz w:val="22"/>
          <w:szCs w:val="22"/>
        </w:rPr>
      </w:pPr>
      <w:r w:rsidRPr="00EB1F47">
        <w:rPr>
          <w:bCs/>
          <w:sz w:val="22"/>
          <w:szCs w:val="22"/>
        </w:rPr>
        <w:t xml:space="preserve">Zdroj: Eutosta, </w:t>
      </w:r>
      <w:r w:rsidRPr="004C7785">
        <w:rPr>
          <w:bCs/>
          <w:sz w:val="22"/>
          <w:szCs w:val="22"/>
        </w:rPr>
        <w:t xml:space="preserve">Average exit age from the labour force by gender </w:t>
      </w:r>
      <w:r w:rsidRPr="00EB1F47">
        <w:rPr>
          <w:bCs/>
          <w:sz w:val="22"/>
          <w:szCs w:val="22"/>
        </w:rPr>
        <w:t>(2014), vlastní úprava</w:t>
      </w:r>
    </w:p>
    <w:p w14:paraId="1DA0A8C0" w14:textId="77777777" w:rsidR="00716050" w:rsidRDefault="00716050" w:rsidP="00CB1B50">
      <w:pPr>
        <w:spacing w:after="20"/>
        <w:jc w:val="center"/>
        <w:rPr>
          <w:bCs/>
          <w:szCs w:val="24"/>
        </w:rPr>
      </w:pPr>
    </w:p>
    <w:p w14:paraId="3BCD5E4B" w14:textId="77777777" w:rsidR="00716050" w:rsidRDefault="00716050" w:rsidP="00CB1B50">
      <w:pPr>
        <w:spacing w:after="20"/>
        <w:jc w:val="center"/>
        <w:rPr>
          <w:bCs/>
          <w:szCs w:val="24"/>
        </w:rPr>
      </w:pPr>
    </w:p>
    <w:p w14:paraId="09B4A23A" w14:textId="77777777" w:rsidR="00746750" w:rsidRDefault="00746750" w:rsidP="00CB1B50">
      <w:pPr>
        <w:spacing w:after="20"/>
        <w:jc w:val="center"/>
        <w:rPr>
          <w:bCs/>
          <w:szCs w:val="24"/>
        </w:rPr>
      </w:pPr>
    </w:p>
    <w:p w14:paraId="686F348C" w14:textId="77777777" w:rsidR="00746750" w:rsidRPr="00576750" w:rsidRDefault="00746750" w:rsidP="00CB1B50">
      <w:pPr>
        <w:spacing w:after="20"/>
        <w:jc w:val="center"/>
        <w:rPr>
          <w:bCs/>
          <w:szCs w:val="24"/>
        </w:rPr>
      </w:pPr>
    </w:p>
    <w:sectPr w:rsidR="00746750" w:rsidRPr="00576750" w:rsidSect="00E14A51">
      <w:pgSz w:w="11906" w:h="16838" w:code="9"/>
      <w:pgMar w:top="1418" w:right="1134" w:bottom="1418" w:left="226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F5765" w14:textId="77777777" w:rsidR="005E6456" w:rsidRDefault="005E6456" w:rsidP="005A66CD">
      <w:pPr>
        <w:spacing w:after="0"/>
      </w:pPr>
      <w:r>
        <w:separator/>
      </w:r>
    </w:p>
  </w:endnote>
  <w:endnote w:type="continuationSeparator" w:id="0">
    <w:p w14:paraId="768A8EC8" w14:textId="77777777" w:rsidR="005E6456" w:rsidRDefault="005E6456"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DFA06" w14:textId="77777777" w:rsidR="00D45B2F" w:rsidRDefault="00D45B2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8182" w14:textId="77777777" w:rsidR="00D45B2F" w:rsidRDefault="00D45B2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AFF8" w14:textId="77777777" w:rsidR="00A3530B" w:rsidRDefault="00A3530B">
    <w:pPr>
      <w:pStyle w:val="Zpat"/>
      <w:jc w:val="center"/>
    </w:pPr>
  </w:p>
  <w:p w14:paraId="5B1FC7C9" w14:textId="77777777" w:rsidR="00A3530B" w:rsidRDefault="00A3530B">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894208"/>
      <w:docPartObj>
        <w:docPartGallery w:val="Page Numbers (Bottom of Page)"/>
        <w:docPartUnique/>
      </w:docPartObj>
    </w:sdtPr>
    <w:sdtEndPr/>
    <w:sdtContent>
      <w:p w14:paraId="56BA121C" w14:textId="77777777" w:rsidR="00A3530B" w:rsidRDefault="00A3530B">
        <w:pPr>
          <w:pStyle w:val="Zpat"/>
          <w:jc w:val="center"/>
        </w:pPr>
        <w:r>
          <w:fldChar w:fldCharType="begin"/>
        </w:r>
        <w:r>
          <w:instrText xml:space="preserve"> PAGE   \* MERGEFORMAT </w:instrText>
        </w:r>
        <w:r>
          <w:fldChar w:fldCharType="separate"/>
        </w:r>
        <w:r w:rsidR="00D45B2F">
          <w:rPr>
            <w:noProof/>
          </w:rPr>
          <w:t>9</w:t>
        </w:r>
        <w:r>
          <w:rPr>
            <w:noProof/>
          </w:rPr>
          <w:fldChar w:fldCharType="end"/>
        </w:r>
      </w:p>
    </w:sdtContent>
  </w:sdt>
  <w:p w14:paraId="3B559483" w14:textId="77777777" w:rsidR="00A3530B" w:rsidRPr="00204DBE" w:rsidRDefault="00A3530B" w:rsidP="00204DBE">
    <w:pPr>
      <w:pStyle w:val="Zpat"/>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296856"/>
      <w:docPartObj>
        <w:docPartGallery w:val="Page Numbers (Bottom of Page)"/>
        <w:docPartUnique/>
      </w:docPartObj>
    </w:sdtPr>
    <w:sdtEndPr/>
    <w:sdtContent>
      <w:p w14:paraId="7984466A" w14:textId="77777777" w:rsidR="00A3530B" w:rsidRDefault="00A3530B">
        <w:pPr>
          <w:pStyle w:val="Zpat"/>
          <w:jc w:val="center"/>
        </w:pPr>
        <w:r>
          <w:fldChar w:fldCharType="begin"/>
        </w:r>
        <w:r>
          <w:instrText xml:space="preserve"> PAGE   \* MERGEFORMAT </w:instrText>
        </w:r>
        <w:r>
          <w:fldChar w:fldCharType="separate"/>
        </w:r>
        <w:r w:rsidR="00D45B2F">
          <w:rPr>
            <w:noProof/>
          </w:rPr>
          <w:t>12</w:t>
        </w:r>
        <w:r>
          <w:rPr>
            <w:noProof/>
          </w:rPr>
          <w:fldChar w:fldCharType="end"/>
        </w:r>
      </w:p>
    </w:sdtContent>
  </w:sdt>
  <w:p w14:paraId="628E3D9A" w14:textId="77777777" w:rsidR="00A3530B" w:rsidRPr="00204DBE" w:rsidRDefault="00A3530B" w:rsidP="00204DB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F615F" w14:textId="77777777" w:rsidR="005E6456" w:rsidRDefault="005E6456">
      <w:pPr>
        <w:spacing w:after="0"/>
        <w:rPr>
          <w:iCs/>
          <w:sz w:val="20"/>
          <w:lang w:val="en-GB"/>
        </w:rPr>
      </w:pPr>
      <w:r>
        <w:separator/>
      </w:r>
    </w:p>
  </w:footnote>
  <w:footnote w:type="continuationSeparator" w:id="0">
    <w:p w14:paraId="25A67447" w14:textId="77777777" w:rsidR="005E6456" w:rsidRDefault="005E6456" w:rsidP="005A66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1CFC3" w14:textId="77777777" w:rsidR="00D45B2F" w:rsidRDefault="00D45B2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175870"/>
      <w:docPartObj>
        <w:docPartGallery w:val="Watermarks"/>
        <w:docPartUnique/>
      </w:docPartObj>
    </w:sdtPr>
    <w:sdtContent>
      <w:p w14:paraId="3A9DA611" w14:textId="661C1B6C" w:rsidR="00A3530B" w:rsidRDefault="00D45B2F" w:rsidP="00D80B55">
        <w:pPr>
          <w:pStyle w:val="Zhlav"/>
          <w:jc w:val="center"/>
        </w:pPr>
        <w:r>
          <w:pict w14:anchorId="19113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074533" o:spid="_x0000_s2049" type="#_x0000_t136" style="position:absolute;left:0;text-align:left;margin-left:0;margin-top:0;width:513.8pt;height:85.6pt;rotation:315;z-index:-251657216;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E215" w14:textId="77777777" w:rsidR="00D45B2F" w:rsidRDefault="00D45B2F">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B551" w14:textId="77777777" w:rsidR="00D45B2F" w:rsidRDefault="00D45B2F">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E5A48" w14:textId="77777777" w:rsidR="00D45B2F" w:rsidRDefault="00D45B2F">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82B57" w14:textId="77777777" w:rsidR="00D45B2F" w:rsidRDefault="00D45B2F">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D86C3" w14:textId="77777777" w:rsidR="00D45B2F" w:rsidRDefault="00D45B2F">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0659A" w14:textId="77777777" w:rsidR="00D45B2F" w:rsidRDefault="00D45B2F">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D3908" w14:textId="77777777" w:rsidR="00D45B2F" w:rsidRDefault="00D45B2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C592B"/>
    <w:multiLevelType w:val="hybridMultilevel"/>
    <w:tmpl w:val="20C6C1B0"/>
    <w:lvl w:ilvl="0" w:tplc="20A6DD9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75F66"/>
    <w:multiLevelType w:val="multilevel"/>
    <w:tmpl w:val="4156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5794B"/>
    <w:multiLevelType w:val="hybridMultilevel"/>
    <w:tmpl w:val="7E367830"/>
    <w:lvl w:ilvl="0" w:tplc="4AA05B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4">
    <w:nsid w:val="30A437BB"/>
    <w:multiLevelType w:val="multilevel"/>
    <w:tmpl w:val="6CBA7DA4"/>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6">
    <w:nsid w:val="3F932712"/>
    <w:multiLevelType w:val="hybridMultilevel"/>
    <w:tmpl w:val="73F86E5E"/>
    <w:lvl w:ilvl="0" w:tplc="AAAE3E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815217"/>
    <w:multiLevelType w:val="multilevel"/>
    <w:tmpl w:val="38907404"/>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nsid w:val="4E6372DA"/>
    <w:multiLevelType w:val="hybridMultilevel"/>
    <w:tmpl w:val="C5C0C842"/>
    <w:lvl w:ilvl="0" w:tplc="F8F21F2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E803990"/>
    <w:multiLevelType w:val="multilevel"/>
    <w:tmpl w:val="19E2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5"/>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4"/>
  </w:num>
  <w:num w:numId="9">
    <w:abstractNumId w:val="7"/>
  </w:num>
  <w:num w:numId="10">
    <w:abstractNumId w:val="7"/>
  </w:num>
  <w:num w:numId="11">
    <w:abstractNumId w:val="0"/>
  </w:num>
  <w:num w:numId="12">
    <w:abstractNumId w:val="7"/>
  </w:num>
  <w:num w:numId="13">
    <w:abstractNumId w:val="1"/>
  </w:num>
  <w:num w:numId="14">
    <w:abstractNumId w:val="10"/>
  </w:num>
  <w:num w:numId="15">
    <w:abstractNumId w:val="7"/>
  </w:num>
  <w:num w:numId="16">
    <w:abstractNumId w:val="7"/>
  </w:num>
  <w:num w:numId="17">
    <w:abstractNumId w:val="7"/>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cryptProviderType="rsaAES" w:cryptAlgorithmClass="hash" w:cryptAlgorithmType="typeAny" w:cryptAlgorithmSid="14" w:cryptSpinCount="100000" w:hash="tsoJmbGOyYvCVGv8wyNVrQnhqU1RiI+r+JPvdQc9LNRaGzKOrph/B55BFTtHrE4RfFMqgjGqMs+S9TUrLg35zw==" w:salt="0+BIgKtAGX1k75cWJYpiGA=="/>
  <w:defaultTabStop w:val="709"/>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0A"/>
    <w:rsid w:val="0000043D"/>
    <w:rsid w:val="000012BB"/>
    <w:rsid w:val="000021FF"/>
    <w:rsid w:val="000025E6"/>
    <w:rsid w:val="00004337"/>
    <w:rsid w:val="00004A42"/>
    <w:rsid w:val="00006B62"/>
    <w:rsid w:val="000078D1"/>
    <w:rsid w:val="0001049B"/>
    <w:rsid w:val="000104E8"/>
    <w:rsid w:val="000113C2"/>
    <w:rsid w:val="000122C7"/>
    <w:rsid w:val="00012A10"/>
    <w:rsid w:val="00012EE6"/>
    <w:rsid w:val="000130AF"/>
    <w:rsid w:val="0001438B"/>
    <w:rsid w:val="000168A9"/>
    <w:rsid w:val="0001702C"/>
    <w:rsid w:val="00021069"/>
    <w:rsid w:val="00024F18"/>
    <w:rsid w:val="00025093"/>
    <w:rsid w:val="00025673"/>
    <w:rsid w:val="000274EC"/>
    <w:rsid w:val="00030B57"/>
    <w:rsid w:val="00031657"/>
    <w:rsid w:val="00036030"/>
    <w:rsid w:val="00036D79"/>
    <w:rsid w:val="0003703C"/>
    <w:rsid w:val="0004013A"/>
    <w:rsid w:val="000404D8"/>
    <w:rsid w:val="00042460"/>
    <w:rsid w:val="00042E15"/>
    <w:rsid w:val="0004389B"/>
    <w:rsid w:val="00044DD0"/>
    <w:rsid w:val="00045555"/>
    <w:rsid w:val="00045735"/>
    <w:rsid w:val="00045A51"/>
    <w:rsid w:val="000511C9"/>
    <w:rsid w:val="000514F2"/>
    <w:rsid w:val="000524BD"/>
    <w:rsid w:val="000530D4"/>
    <w:rsid w:val="00053BDE"/>
    <w:rsid w:val="00054341"/>
    <w:rsid w:val="0005479D"/>
    <w:rsid w:val="00055861"/>
    <w:rsid w:val="0005590C"/>
    <w:rsid w:val="000563A8"/>
    <w:rsid w:val="00056524"/>
    <w:rsid w:val="000568DB"/>
    <w:rsid w:val="00056994"/>
    <w:rsid w:val="000570E0"/>
    <w:rsid w:val="00057C47"/>
    <w:rsid w:val="00057DE7"/>
    <w:rsid w:val="00060CFD"/>
    <w:rsid w:val="00061A4F"/>
    <w:rsid w:val="00061A76"/>
    <w:rsid w:val="00061EF4"/>
    <w:rsid w:val="0006318B"/>
    <w:rsid w:val="0006332E"/>
    <w:rsid w:val="00065351"/>
    <w:rsid w:val="00065522"/>
    <w:rsid w:val="00067102"/>
    <w:rsid w:val="00067B0B"/>
    <w:rsid w:val="0007197A"/>
    <w:rsid w:val="00074171"/>
    <w:rsid w:val="00076627"/>
    <w:rsid w:val="00077E3E"/>
    <w:rsid w:val="000800CB"/>
    <w:rsid w:val="0008080E"/>
    <w:rsid w:val="00080A8E"/>
    <w:rsid w:val="00081924"/>
    <w:rsid w:val="00082000"/>
    <w:rsid w:val="0008351D"/>
    <w:rsid w:val="00085513"/>
    <w:rsid w:val="00085D6D"/>
    <w:rsid w:val="000872E5"/>
    <w:rsid w:val="0008738E"/>
    <w:rsid w:val="0009157B"/>
    <w:rsid w:val="00091707"/>
    <w:rsid w:val="0009184F"/>
    <w:rsid w:val="00091E69"/>
    <w:rsid w:val="0009415E"/>
    <w:rsid w:val="00094366"/>
    <w:rsid w:val="00095D4E"/>
    <w:rsid w:val="00095E7F"/>
    <w:rsid w:val="00097FD1"/>
    <w:rsid w:val="000A0BA2"/>
    <w:rsid w:val="000A15E4"/>
    <w:rsid w:val="000A1DBB"/>
    <w:rsid w:val="000A2596"/>
    <w:rsid w:val="000A2B35"/>
    <w:rsid w:val="000A2F9B"/>
    <w:rsid w:val="000A346F"/>
    <w:rsid w:val="000A3EDD"/>
    <w:rsid w:val="000A498E"/>
    <w:rsid w:val="000A4BE9"/>
    <w:rsid w:val="000A5567"/>
    <w:rsid w:val="000B1916"/>
    <w:rsid w:val="000B2CB2"/>
    <w:rsid w:val="000B3822"/>
    <w:rsid w:val="000B3BCA"/>
    <w:rsid w:val="000B4AC9"/>
    <w:rsid w:val="000B593A"/>
    <w:rsid w:val="000B5EAD"/>
    <w:rsid w:val="000B73D2"/>
    <w:rsid w:val="000B77B7"/>
    <w:rsid w:val="000B78FF"/>
    <w:rsid w:val="000C054F"/>
    <w:rsid w:val="000C31A6"/>
    <w:rsid w:val="000C3A80"/>
    <w:rsid w:val="000C3D04"/>
    <w:rsid w:val="000C6D04"/>
    <w:rsid w:val="000C736E"/>
    <w:rsid w:val="000C7768"/>
    <w:rsid w:val="000C7EC6"/>
    <w:rsid w:val="000D224F"/>
    <w:rsid w:val="000D2B4A"/>
    <w:rsid w:val="000D2C1C"/>
    <w:rsid w:val="000D2F14"/>
    <w:rsid w:val="000D3945"/>
    <w:rsid w:val="000D3DE0"/>
    <w:rsid w:val="000D4910"/>
    <w:rsid w:val="000D49E9"/>
    <w:rsid w:val="000D4D9D"/>
    <w:rsid w:val="000D61A6"/>
    <w:rsid w:val="000D6A6F"/>
    <w:rsid w:val="000D6A8C"/>
    <w:rsid w:val="000D6F2C"/>
    <w:rsid w:val="000D735C"/>
    <w:rsid w:val="000E0678"/>
    <w:rsid w:val="000E0D99"/>
    <w:rsid w:val="000E107A"/>
    <w:rsid w:val="000E1F07"/>
    <w:rsid w:val="000E4A02"/>
    <w:rsid w:val="000E5760"/>
    <w:rsid w:val="000E57FF"/>
    <w:rsid w:val="000E5C24"/>
    <w:rsid w:val="000E63C6"/>
    <w:rsid w:val="000E7168"/>
    <w:rsid w:val="000E79C2"/>
    <w:rsid w:val="000F00EB"/>
    <w:rsid w:val="000F045F"/>
    <w:rsid w:val="000F08E1"/>
    <w:rsid w:val="000F0D08"/>
    <w:rsid w:val="000F1539"/>
    <w:rsid w:val="000F1C26"/>
    <w:rsid w:val="000F3506"/>
    <w:rsid w:val="000F3725"/>
    <w:rsid w:val="000F4115"/>
    <w:rsid w:val="000F5898"/>
    <w:rsid w:val="000F5A54"/>
    <w:rsid w:val="000F64A0"/>
    <w:rsid w:val="000F680B"/>
    <w:rsid w:val="0010183F"/>
    <w:rsid w:val="00101986"/>
    <w:rsid w:val="001019F0"/>
    <w:rsid w:val="00102A4B"/>
    <w:rsid w:val="00102EAD"/>
    <w:rsid w:val="00102EB5"/>
    <w:rsid w:val="001032D3"/>
    <w:rsid w:val="00105B73"/>
    <w:rsid w:val="00106080"/>
    <w:rsid w:val="001061B1"/>
    <w:rsid w:val="001070FA"/>
    <w:rsid w:val="00107ED6"/>
    <w:rsid w:val="00110419"/>
    <w:rsid w:val="001111BC"/>
    <w:rsid w:val="001114EF"/>
    <w:rsid w:val="00111546"/>
    <w:rsid w:val="001115B2"/>
    <w:rsid w:val="00111805"/>
    <w:rsid w:val="001119E7"/>
    <w:rsid w:val="00113F3C"/>
    <w:rsid w:val="001168AF"/>
    <w:rsid w:val="00117EE0"/>
    <w:rsid w:val="00120E84"/>
    <w:rsid w:val="001217A1"/>
    <w:rsid w:val="001234DA"/>
    <w:rsid w:val="00123C22"/>
    <w:rsid w:val="00123FB5"/>
    <w:rsid w:val="001275A1"/>
    <w:rsid w:val="0012770F"/>
    <w:rsid w:val="00130FB1"/>
    <w:rsid w:val="0013108D"/>
    <w:rsid w:val="00131E4E"/>
    <w:rsid w:val="00132C3E"/>
    <w:rsid w:val="001349DB"/>
    <w:rsid w:val="0013554A"/>
    <w:rsid w:val="00136D76"/>
    <w:rsid w:val="001376D5"/>
    <w:rsid w:val="00137A6B"/>
    <w:rsid w:val="001416DF"/>
    <w:rsid w:val="001423A9"/>
    <w:rsid w:val="00142AE9"/>
    <w:rsid w:val="0014315A"/>
    <w:rsid w:val="0014316A"/>
    <w:rsid w:val="0014355A"/>
    <w:rsid w:val="00143875"/>
    <w:rsid w:val="00144279"/>
    <w:rsid w:val="001461B8"/>
    <w:rsid w:val="00146530"/>
    <w:rsid w:val="00147011"/>
    <w:rsid w:val="001502A3"/>
    <w:rsid w:val="00152A0A"/>
    <w:rsid w:val="001530C8"/>
    <w:rsid w:val="00154F14"/>
    <w:rsid w:val="00155A96"/>
    <w:rsid w:val="00155BE8"/>
    <w:rsid w:val="00155ED9"/>
    <w:rsid w:val="001606B6"/>
    <w:rsid w:val="001617DA"/>
    <w:rsid w:val="00161D57"/>
    <w:rsid w:val="001620D3"/>
    <w:rsid w:val="00163493"/>
    <w:rsid w:val="0016384D"/>
    <w:rsid w:val="00163E39"/>
    <w:rsid w:val="00164A06"/>
    <w:rsid w:val="00165699"/>
    <w:rsid w:val="00166201"/>
    <w:rsid w:val="00167760"/>
    <w:rsid w:val="00170976"/>
    <w:rsid w:val="0017116E"/>
    <w:rsid w:val="00171C06"/>
    <w:rsid w:val="00171F45"/>
    <w:rsid w:val="00174432"/>
    <w:rsid w:val="00174CEA"/>
    <w:rsid w:val="00175543"/>
    <w:rsid w:val="0017569C"/>
    <w:rsid w:val="001765D7"/>
    <w:rsid w:val="001774BD"/>
    <w:rsid w:val="00177B13"/>
    <w:rsid w:val="00180C01"/>
    <w:rsid w:val="00180EF2"/>
    <w:rsid w:val="00181A03"/>
    <w:rsid w:val="0018258C"/>
    <w:rsid w:val="00182F4A"/>
    <w:rsid w:val="001848AF"/>
    <w:rsid w:val="00185E51"/>
    <w:rsid w:val="00185E7C"/>
    <w:rsid w:val="001865BE"/>
    <w:rsid w:val="001876BC"/>
    <w:rsid w:val="00191666"/>
    <w:rsid w:val="00191935"/>
    <w:rsid w:val="00191D08"/>
    <w:rsid w:val="00191E4E"/>
    <w:rsid w:val="00193A8F"/>
    <w:rsid w:val="00193F3F"/>
    <w:rsid w:val="00194089"/>
    <w:rsid w:val="00195177"/>
    <w:rsid w:val="0019792A"/>
    <w:rsid w:val="001A012E"/>
    <w:rsid w:val="001A1E8C"/>
    <w:rsid w:val="001A2423"/>
    <w:rsid w:val="001A3523"/>
    <w:rsid w:val="001A3661"/>
    <w:rsid w:val="001A4318"/>
    <w:rsid w:val="001A4B8A"/>
    <w:rsid w:val="001A4FA4"/>
    <w:rsid w:val="001A52E8"/>
    <w:rsid w:val="001A54EF"/>
    <w:rsid w:val="001A5F8D"/>
    <w:rsid w:val="001A783D"/>
    <w:rsid w:val="001B0EAF"/>
    <w:rsid w:val="001B1700"/>
    <w:rsid w:val="001B1EEE"/>
    <w:rsid w:val="001B25AE"/>
    <w:rsid w:val="001B35F9"/>
    <w:rsid w:val="001B3607"/>
    <w:rsid w:val="001B467B"/>
    <w:rsid w:val="001B4BD3"/>
    <w:rsid w:val="001B5E8D"/>
    <w:rsid w:val="001B601B"/>
    <w:rsid w:val="001B60B0"/>
    <w:rsid w:val="001B673F"/>
    <w:rsid w:val="001C00E1"/>
    <w:rsid w:val="001C04CD"/>
    <w:rsid w:val="001C1622"/>
    <w:rsid w:val="001C1F70"/>
    <w:rsid w:val="001C2914"/>
    <w:rsid w:val="001C3BAC"/>
    <w:rsid w:val="001C6A8D"/>
    <w:rsid w:val="001D09B5"/>
    <w:rsid w:val="001D0AAC"/>
    <w:rsid w:val="001D1DFC"/>
    <w:rsid w:val="001D2392"/>
    <w:rsid w:val="001D491B"/>
    <w:rsid w:val="001D54F2"/>
    <w:rsid w:val="001D6C8B"/>
    <w:rsid w:val="001D7F29"/>
    <w:rsid w:val="001E0EA8"/>
    <w:rsid w:val="001E3149"/>
    <w:rsid w:val="001E5011"/>
    <w:rsid w:val="001E53BC"/>
    <w:rsid w:val="001E589F"/>
    <w:rsid w:val="001E5BED"/>
    <w:rsid w:val="001E608A"/>
    <w:rsid w:val="001E7185"/>
    <w:rsid w:val="001E7B1B"/>
    <w:rsid w:val="001F023E"/>
    <w:rsid w:val="001F0352"/>
    <w:rsid w:val="001F19D0"/>
    <w:rsid w:val="001F27EA"/>
    <w:rsid w:val="001F3433"/>
    <w:rsid w:val="001F36E6"/>
    <w:rsid w:val="001F3B79"/>
    <w:rsid w:val="001F3C88"/>
    <w:rsid w:val="001F70F2"/>
    <w:rsid w:val="0020003A"/>
    <w:rsid w:val="00204656"/>
    <w:rsid w:val="00204DBE"/>
    <w:rsid w:val="002054CE"/>
    <w:rsid w:val="00206053"/>
    <w:rsid w:val="00206589"/>
    <w:rsid w:val="00206FBA"/>
    <w:rsid w:val="00211D70"/>
    <w:rsid w:val="0021339B"/>
    <w:rsid w:val="00213862"/>
    <w:rsid w:val="00214AAF"/>
    <w:rsid w:val="00216484"/>
    <w:rsid w:val="00217B71"/>
    <w:rsid w:val="00217BD8"/>
    <w:rsid w:val="00221E04"/>
    <w:rsid w:val="00223B13"/>
    <w:rsid w:val="00223FCD"/>
    <w:rsid w:val="00224644"/>
    <w:rsid w:val="00224687"/>
    <w:rsid w:val="00226589"/>
    <w:rsid w:val="002277D1"/>
    <w:rsid w:val="0022780D"/>
    <w:rsid w:val="00230DD1"/>
    <w:rsid w:val="00231791"/>
    <w:rsid w:val="00232403"/>
    <w:rsid w:val="00233470"/>
    <w:rsid w:val="0023522F"/>
    <w:rsid w:val="00235259"/>
    <w:rsid w:val="002357C9"/>
    <w:rsid w:val="00235A7F"/>
    <w:rsid w:val="00236B3E"/>
    <w:rsid w:val="00240DE9"/>
    <w:rsid w:val="00241266"/>
    <w:rsid w:val="00241DC1"/>
    <w:rsid w:val="002429EA"/>
    <w:rsid w:val="00245304"/>
    <w:rsid w:val="00245336"/>
    <w:rsid w:val="002472D1"/>
    <w:rsid w:val="00247802"/>
    <w:rsid w:val="0025128B"/>
    <w:rsid w:val="00252794"/>
    <w:rsid w:val="00253179"/>
    <w:rsid w:val="00253D31"/>
    <w:rsid w:val="00256BD8"/>
    <w:rsid w:val="00260F8F"/>
    <w:rsid w:val="0026204A"/>
    <w:rsid w:val="00262A6D"/>
    <w:rsid w:val="00262D33"/>
    <w:rsid w:val="00266908"/>
    <w:rsid w:val="002672A4"/>
    <w:rsid w:val="00270016"/>
    <w:rsid w:val="002703A6"/>
    <w:rsid w:val="002718D9"/>
    <w:rsid w:val="00271B63"/>
    <w:rsid w:val="00272D66"/>
    <w:rsid w:val="0027364A"/>
    <w:rsid w:val="0027542D"/>
    <w:rsid w:val="002756C5"/>
    <w:rsid w:val="00275929"/>
    <w:rsid w:val="00275BFF"/>
    <w:rsid w:val="0027607F"/>
    <w:rsid w:val="00276B6F"/>
    <w:rsid w:val="00277D84"/>
    <w:rsid w:val="00280D16"/>
    <w:rsid w:val="00284511"/>
    <w:rsid w:val="00284B53"/>
    <w:rsid w:val="00285D51"/>
    <w:rsid w:val="0028730E"/>
    <w:rsid w:val="00292732"/>
    <w:rsid w:val="002946FB"/>
    <w:rsid w:val="0029675B"/>
    <w:rsid w:val="00296CC0"/>
    <w:rsid w:val="002A0C12"/>
    <w:rsid w:val="002A14E1"/>
    <w:rsid w:val="002A1A47"/>
    <w:rsid w:val="002A2F1A"/>
    <w:rsid w:val="002A6521"/>
    <w:rsid w:val="002B067E"/>
    <w:rsid w:val="002B07AF"/>
    <w:rsid w:val="002B120D"/>
    <w:rsid w:val="002B205E"/>
    <w:rsid w:val="002B2A3C"/>
    <w:rsid w:val="002B2FA2"/>
    <w:rsid w:val="002B3D97"/>
    <w:rsid w:val="002B788C"/>
    <w:rsid w:val="002C223C"/>
    <w:rsid w:val="002C3E05"/>
    <w:rsid w:val="002C45BA"/>
    <w:rsid w:val="002C5271"/>
    <w:rsid w:val="002C5C73"/>
    <w:rsid w:val="002C6366"/>
    <w:rsid w:val="002C69D3"/>
    <w:rsid w:val="002D0208"/>
    <w:rsid w:val="002D2C6B"/>
    <w:rsid w:val="002D3A33"/>
    <w:rsid w:val="002D403D"/>
    <w:rsid w:val="002D42D6"/>
    <w:rsid w:val="002D584F"/>
    <w:rsid w:val="002D5894"/>
    <w:rsid w:val="002D685C"/>
    <w:rsid w:val="002E03BB"/>
    <w:rsid w:val="002E30F3"/>
    <w:rsid w:val="002E34CA"/>
    <w:rsid w:val="002E4C14"/>
    <w:rsid w:val="002E5307"/>
    <w:rsid w:val="002E5795"/>
    <w:rsid w:val="002E5DA8"/>
    <w:rsid w:val="002E727E"/>
    <w:rsid w:val="002F0122"/>
    <w:rsid w:val="002F02DE"/>
    <w:rsid w:val="002F08E4"/>
    <w:rsid w:val="002F0B50"/>
    <w:rsid w:val="002F16D6"/>
    <w:rsid w:val="002F1AA8"/>
    <w:rsid w:val="002F1F5E"/>
    <w:rsid w:val="002F204E"/>
    <w:rsid w:val="002F218D"/>
    <w:rsid w:val="002F2F8B"/>
    <w:rsid w:val="002F304E"/>
    <w:rsid w:val="002F521D"/>
    <w:rsid w:val="002F522E"/>
    <w:rsid w:val="002F5A45"/>
    <w:rsid w:val="002F6804"/>
    <w:rsid w:val="003000E3"/>
    <w:rsid w:val="00301011"/>
    <w:rsid w:val="003013FC"/>
    <w:rsid w:val="0030198F"/>
    <w:rsid w:val="0030233D"/>
    <w:rsid w:val="0030246C"/>
    <w:rsid w:val="00302FE8"/>
    <w:rsid w:val="00303370"/>
    <w:rsid w:val="00303C43"/>
    <w:rsid w:val="00303DE0"/>
    <w:rsid w:val="00304F2A"/>
    <w:rsid w:val="003068D3"/>
    <w:rsid w:val="00306F86"/>
    <w:rsid w:val="0030771D"/>
    <w:rsid w:val="00307E72"/>
    <w:rsid w:val="003105E0"/>
    <w:rsid w:val="00310B63"/>
    <w:rsid w:val="003131C7"/>
    <w:rsid w:val="00315225"/>
    <w:rsid w:val="0031600F"/>
    <w:rsid w:val="003167F2"/>
    <w:rsid w:val="00317236"/>
    <w:rsid w:val="003174F9"/>
    <w:rsid w:val="003179B2"/>
    <w:rsid w:val="00317B89"/>
    <w:rsid w:val="00320978"/>
    <w:rsid w:val="003219A9"/>
    <w:rsid w:val="00322B84"/>
    <w:rsid w:val="0032523E"/>
    <w:rsid w:val="0032655D"/>
    <w:rsid w:val="00326915"/>
    <w:rsid w:val="0032757A"/>
    <w:rsid w:val="00331616"/>
    <w:rsid w:val="00331634"/>
    <w:rsid w:val="003322F9"/>
    <w:rsid w:val="0033366C"/>
    <w:rsid w:val="00333CBD"/>
    <w:rsid w:val="0033482A"/>
    <w:rsid w:val="00334D29"/>
    <w:rsid w:val="0033506C"/>
    <w:rsid w:val="0033715D"/>
    <w:rsid w:val="003409EF"/>
    <w:rsid w:val="00341529"/>
    <w:rsid w:val="00341A32"/>
    <w:rsid w:val="003439AE"/>
    <w:rsid w:val="0034504E"/>
    <w:rsid w:val="0034551E"/>
    <w:rsid w:val="003460AE"/>
    <w:rsid w:val="00347203"/>
    <w:rsid w:val="003512CD"/>
    <w:rsid w:val="00351FA6"/>
    <w:rsid w:val="00352CA2"/>
    <w:rsid w:val="0035441F"/>
    <w:rsid w:val="003545DB"/>
    <w:rsid w:val="00354BFA"/>
    <w:rsid w:val="00355D0A"/>
    <w:rsid w:val="00356C68"/>
    <w:rsid w:val="00357421"/>
    <w:rsid w:val="0036097E"/>
    <w:rsid w:val="00361771"/>
    <w:rsid w:val="00363654"/>
    <w:rsid w:val="00364900"/>
    <w:rsid w:val="0036548D"/>
    <w:rsid w:val="0036573D"/>
    <w:rsid w:val="00365B2F"/>
    <w:rsid w:val="00366712"/>
    <w:rsid w:val="00366DA6"/>
    <w:rsid w:val="00366F15"/>
    <w:rsid w:val="00367021"/>
    <w:rsid w:val="00367104"/>
    <w:rsid w:val="00367332"/>
    <w:rsid w:val="00367356"/>
    <w:rsid w:val="00367A47"/>
    <w:rsid w:val="00367F9A"/>
    <w:rsid w:val="00370B71"/>
    <w:rsid w:val="00372310"/>
    <w:rsid w:val="00372FDB"/>
    <w:rsid w:val="003748ED"/>
    <w:rsid w:val="00375F5B"/>
    <w:rsid w:val="00377BBD"/>
    <w:rsid w:val="00381B27"/>
    <w:rsid w:val="00381D8A"/>
    <w:rsid w:val="0038335E"/>
    <w:rsid w:val="003839CF"/>
    <w:rsid w:val="00383ABF"/>
    <w:rsid w:val="003841FE"/>
    <w:rsid w:val="00384973"/>
    <w:rsid w:val="00384CB8"/>
    <w:rsid w:val="003853E9"/>
    <w:rsid w:val="00386315"/>
    <w:rsid w:val="003867FB"/>
    <w:rsid w:val="00386864"/>
    <w:rsid w:val="00386A29"/>
    <w:rsid w:val="00387113"/>
    <w:rsid w:val="00387886"/>
    <w:rsid w:val="00387D65"/>
    <w:rsid w:val="003910FF"/>
    <w:rsid w:val="003923AF"/>
    <w:rsid w:val="00393748"/>
    <w:rsid w:val="0039477F"/>
    <w:rsid w:val="00394F70"/>
    <w:rsid w:val="00395CDD"/>
    <w:rsid w:val="003975EE"/>
    <w:rsid w:val="00397AE7"/>
    <w:rsid w:val="00397FAC"/>
    <w:rsid w:val="003A0A99"/>
    <w:rsid w:val="003A0FF4"/>
    <w:rsid w:val="003A3613"/>
    <w:rsid w:val="003A3F2F"/>
    <w:rsid w:val="003A6F96"/>
    <w:rsid w:val="003B291C"/>
    <w:rsid w:val="003B30DC"/>
    <w:rsid w:val="003B373B"/>
    <w:rsid w:val="003B37D1"/>
    <w:rsid w:val="003B3C54"/>
    <w:rsid w:val="003B3F7C"/>
    <w:rsid w:val="003B4A62"/>
    <w:rsid w:val="003B4D2E"/>
    <w:rsid w:val="003B554D"/>
    <w:rsid w:val="003B67D4"/>
    <w:rsid w:val="003B6BCD"/>
    <w:rsid w:val="003B7545"/>
    <w:rsid w:val="003C3B70"/>
    <w:rsid w:val="003C3FF2"/>
    <w:rsid w:val="003C4B70"/>
    <w:rsid w:val="003C53DC"/>
    <w:rsid w:val="003C5B2B"/>
    <w:rsid w:val="003C6186"/>
    <w:rsid w:val="003D2325"/>
    <w:rsid w:val="003D3324"/>
    <w:rsid w:val="003D4093"/>
    <w:rsid w:val="003D4829"/>
    <w:rsid w:val="003D4E45"/>
    <w:rsid w:val="003D538A"/>
    <w:rsid w:val="003D5964"/>
    <w:rsid w:val="003D61AA"/>
    <w:rsid w:val="003D67BF"/>
    <w:rsid w:val="003D7091"/>
    <w:rsid w:val="003E0D48"/>
    <w:rsid w:val="003E10E3"/>
    <w:rsid w:val="003E10F2"/>
    <w:rsid w:val="003E1A1E"/>
    <w:rsid w:val="003E21C2"/>
    <w:rsid w:val="003E386B"/>
    <w:rsid w:val="003E3896"/>
    <w:rsid w:val="003E4795"/>
    <w:rsid w:val="003F0E43"/>
    <w:rsid w:val="003F1374"/>
    <w:rsid w:val="003F36FA"/>
    <w:rsid w:val="003F432D"/>
    <w:rsid w:val="003F4D67"/>
    <w:rsid w:val="003F5829"/>
    <w:rsid w:val="003F5CAA"/>
    <w:rsid w:val="003F619E"/>
    <w:rsid w:val="003F6A8B"/>
    <w:rsid w:val="003F73D3"/>
    <w:rsid w:val="003F7F10"/>
    <w:rsid w:val="00400CEA"/>
    <w:rsid w:val="00400E24"/>
    <w:rsid w:val="0040136C"/>
    <w:rsid w:val="00402E4D"/>
    <w:rsid w:val="0040435D"/>
    <w:rsid w:val="004045A1"/>
    <w:rsid w:val="00404B28"/>
    <w:rsid w:val="00404CE2"/>
    <w:rsid w:val="00410B1A"/>
    <w:rsid w:val="00410DAC"/>
    <w:rsid w:val="0041307F"/>
    <w:rsid w:val="0041317D"/>
    <w:rsid w:val="004142B6"/>
    <w:rsid w:val="00414DF8"/>
    <w:rsid w:val="0041509D"/>
    <w:rsid w:val="00415B7F"/>
    <w:rsid w:val="00417795"/>
    <w:rsid w:val="0042216D"/>
    <w:rsid w:val="00422222"/>
    <w:rsid w:val="00423CCE"/>
    <w:rsid w:val="0043054B"/>
    <w:rsid w:val="00432836"/>
    <w:rsid w:val="00432B4F"/>
    <w:rsid w:val="00432DC3"/>
    <w:rsid w:val="00433DC6"/>
    <w:rsid w:val="00434203"/>
    <w:rsid w:val="0043444B"/>
    <w:rsid w:val="00434A40"/>
    <w:rsid w:val="00436FE0"/>
    <w:rsid w:val="00440C40"/>
    <w:rsid w:val="004411E3"/>
    <w:rsid w:val="00441448"/>
    <w:rsid w:val="00441468"/>
    <w:rsid w:val="00442D79"/>
    <w:rsid w:val="00443CB3"/>
    <w:rsid w:val="00443F6F"/>
    <w:rsid w:val="00445B6B"/>
    <w:rsid w:val="004465E3"/>
    <w:rsid w:val="00446D1C"/>
    <w:rsid w:val="00451FB4"/>
    <w:rsid w:val="004522E5"/>
    <w:rsid w:val="00452E83"/>
    <w:rsid w:val="00452FE9"/>
    <w:rsid w:val="00453C1C"/>
    <w:rsid w:val="00456474"/>
    <w:rsid w:val="00456DA4"/>
    <w:rsid w:val="004577A9"/>
    <w:rsid w:val="004605AA"/>
    <w:rsid w:val="00461F20"/>
    <w:rsid w:val="00462360"/>
    <w:rsid w:val="00462379"/>
    <w:rsid w:val="004636BB"/>
    <w:rsid w:val="004639EC"/>
    <w:rsid w:val="00466B0B"/>
    <w:rsid w:val="00466F85"/>
    <w:rsid w:val="00467B72"/>
    <w:rsid w:val="00472C0B"/>
    <w:rsid w:val="00474DA1"/>
    <w:rsid w:val="004755FA"/>
    <w:rsid w:val="0047654E"/>
    <w:rsid w:val="004771F5"/>
    <w:rsid w:val="00477302"/>
    <w:rsid w:val="00477971"/>
    <w:rsid w:val="00480276"/>
    <w:rsid w:val="004847F4"/>
    <w:rsid w:val="004853B7"/>
    <w:rsid w:val="004855E1"/>
    <w:rsid w:val="00485C1D"/>
    <w:rsid w:val="00491770"/>
    <w:rsid w:val="00491E87"/>
    <w:rsid w:val="00492DE8"/>
    <w:rsid w:val="004935AA"/>
    <w:rsid w:val="004952A3"/>
    <w:rsid w:val="00495729"/>
    <w:rsid w:val="00495EF9"/>
    <w:rsid w:val="004970B8"/>
    <w:rsid w:val="00497119"/>
    <w:rsid w:val="0049798D"/>
    <w:rsid w:val="004A1758"/>
    <w:rsid w:val="004A34F6"/>
    <w:rsid w:val="004A3A5E"/>
    <w:rsid w:val="004A58AD"/>
    <w:rsid w:val="004A64E2"/>
    <w:rsid w:val="004B03EF"/>
    <w:rsid w:val="004B138C"/>
    <w:rsid w:val="004B1FBA"/>
    <w:rsid w:val="004B294F"/>
    <w:rsid w:val="004B32FC"/>
    <w:rsid w:val="004B363C"/>
    <w:rsid w:val="004B409E"/>
    <w:rsid w:val="004B4FE8"/>
    <w:rsid w:val="004B5B33"/>
    <w:rsid w:val="004B765D"/>
    <w:rsid w:val="004C0202"/>
    <w:rsid w:val="004C0385"/>
    <w:rsid w:val="004C04EE"/>
    <w:rsid w:val="004C179C"/>
    <w:rsid w:val="004C1D63"/>
    <w:rsid w:val="004C2708"/>
    <w:rsid w:val="004C3DDC"/>
    <w:rsid w:val="004C433B"/>
    <w:rsid w:val="004C4948"/>
    <w:rsid w:val="004C496A"/>
    <w:rsid w:val="004C50C6"/>
    <w:rsid w:val="004C5864"/>
    <w:rsid w:val="004C5BB7"/>
    <w:rsid w:val="004C7097"/>
    <w:rsid w:val="004C749B"/>
    <w:rsid w:val="004C7785"/>
    <w:rsid w:val="004C7A23"/>
    <w:rsid w:val="004C7F7C"/>
    <w:rsid w:val="004D133A"/>
    <w:rsid w:val="004D26EB"/>
    <w:rsid w:val="004D32FD"/>
    <w:rsid w:val="004D56FA"/>
    <w:rsid w:val="004D5B87"/>
    <w:rsid w:val="004D64A2"/>
    <w:rsid w:val="004E19EF"/>
    <w:rsid w:val="004E2167"/>
    <w:rsid w:val="004E2429"/>
    <w:rsid w:val="004E2BA0"/>
    <w:rsid w:val="004E3323"/>
    <w:rsid w:val="004E4493"/>
    <w:rsid w:val="004E5358"/>
    <w:rsid w:val="004E7350"/>
    <w:rsid w:val="004E73DE"/>
    <w:rsid w:val="004F1478"/>
    <w:rsid w:val="004F2C67"/>
    <w:rsid w:val="004F33B8"/>
    <w:rsid w:val="004F3F04"/>
    <w:rsid w:val="004F3F0A"/>
    <w:rsid w:val="004F4175"/>
    <w:rsid w:val="004F5AA4"/>
    <w:rsid w:val="004F736F"/>
    <w:rsid w:val="005000FC"/>
    <w:rsid w:val="005003C6"/>
    <w:rsid w:val="00500724"/>
    <w:rsid w:val="0050079E"/>
    <w:rsid w:val="0050101A"/>
    <w:rsid w:val="00501CC5"/>
    <w:rsid w:val="00501E5B"/>
    <w:rsid w:val="005024AC"/>
    <w:rsid w:val="00502C87"/>
    <w:rsid w:val="0050308C"/>
    <w:rsid w:val="00503880"/>
    <w:rsid w:val="00504290"/>
    <w:rsid w:val="005053DA"/>
    <w:rsid w:val="00506478"/>
    <w:rsid w:val="005069F0"/>
    <w:rsid w:val="0050747B"/>
    <w:rsid w:val="005074E0"/>
    <w:rsid w:val="005101A5"/>
    <w:rsid w:val="00510471"/>
    <w:rsid w:val="00510B82"/>
    <w:rsid w:val="00512C8D"/>
    <w:rsid w:val="00513412"/>
    <w:rsid w:val="00513B5E"/>
    <w:rsid w:val="00515DA3"/>
    <w:rsid w:val="00515F0C"/>
    <w:rsid w:val="005167D6"/>
    <w:rsid w:val="005210CB"/>
    <w:rsid w:val="005217CD"/>
    <w:rsid w:val="005219C8"/>
    <w:rsid w:val="00521FB3"/>
    <w:rsid w:val="0052262C"/>
    <w:rsid w:val="00524607"/>
    <w:rsid w:val="00524880"/>
    <w:rsid w:val="00526572"/>
    <w:rsid w:val="00526E7F"/>
    <w:rsid w:val="005279AE"/>
    <w:rsid w:val="00532197"/>
    <w:rsid w:val="005351D3"/>
    <w:rsid w:val="00535282"/>
    <w:rsid w:val="00535EAC"/>
    <w:rsid w:val="00536C5C"/>
    <w:rsid w:val="00537026"/>
    <w:rsid w:val="00540C36"/>
    <w:rsid w:val="0054160B"/>
    <w:rsid w:val="00541F46"/>
    <w:rsid w:val="00542657"/>
    <w:rsid w:val="00542C39"/>
    <w:rsid w:val="00542F2D"/>
    <w:rsid w:val="0054356A"/>
    <w:rsid w:val="005435D6"/>
    <w:rsid w:val="005435F9"/>
    <w:rsid w:val="005439B9"/>
    <w:rsid w:val="00547EE0"/>
    <w:rsid w:val="00552918"/>
    <w:rsid w:val="005539AF"/>
    <w:rsid w:val="005539B0"/>
    <w:rsid w:val="00553D67"/>
    <w:rsid w:val="0055683D"/>
    <w:rsid w:val="0056002D"/>
    <w:rsid w:val="0056042A"/>
    <w:rsid w:val="005606DB"/>
    <w:rsid w:val="00561093"/>
    <w:rsid w:val="0056274E"/>
    <w:rsid w:val="00562D54"/>
    <w:rsid w:val="00563596"/>
    <w:rsid w:val="00563A35"/>
    <w:rsid w:val="00563ABA"/>
    <w:rsid w:val="00563F4E"/>
    <w:rsid w:val="00565981"/>
    <w:rsid w:val="00565B07"/>
    <w:rsid w:val="00565EBD"/>
    <w:rsid w:val="0056630B"/>
    <w:rsid w:val="005678CB"/>
    <w:rsid w:val="005706FC"/>
    <w:rsid w:val="00570B71"/>
    <w:rsid w:val="005727A3"/>
    <w:rsid w:val="005730C8"/>
    <w:rsid w:val="005747A3"/>
    <w:rsid w:val="00574924"/>
    <w:rsid w:val="00574EAD"/>
    <w:rsid w:val="00574FD0"/>
    <w:rsid w:val="005765F9"/>
    <w:rsid w:val="00576750"/>
    <w:rsid w:val="00576EC8"/>
    <w:rsid w:val="005771A7"/>
    <w:rsid w:val="00577BAB"/>
    <w:rsid w:val="00577FBA"/>
    <w:rsid w:val="00581550"/>
    <w:rsid w:val="005820AF"/>
    <w:rsid w:val="005825CA"/>
    <w:rsid w:val="00583151"/>
    <w:rsid w:val="0058315A"/>
    <w:rsid w:val="005844D3"/>
    <w:rsid w:val="00584782"/>
    <w:rsid w:val="00586406"/>
    <w:rsid w:val="00586765"/>
    <w:rsid w:val="005870D7"/>
    <w:rsid w:val="00590196"/>
    <w:rsid w:val="00590A91"/>
    <w:rsid w:val="00590DBC"/>
    <w:rsid w:val="005927C2"/>
    <w:rsid w:val="005939CA"/>
    <w:rsid w:val="00593C31"/>
    <w:rsid w:val="00594139"/>
    <w:rsid w:val="00595E37"/>
    <w:rsid w:val="00597809"/>
    <w:rsid w:val="005A2522"/>
    <w:rsid w:val="005A2674"/>
    <w:rsid w:val="005A275C"/>
    <w:rsid w:val="005A33DD"/>
    <w:rsid w:val="005A39C2"/>
    <w:rsid w:val="005A39D1"/>
    <w:rsid w:val="005A53E4"/>
    <w:rsid w:val="005A5AF6"/>
    <w:rsid w:val="005A5DB3"/>
    <w:rsid w:val="005A626F"/>
    <w:rsid w:val="005A66CD"/>
    <w:rsid w:val="005A751F"/>
    <w:rsid w:val="005A7DF2"/>
    <w:rsid w:val="005B0EA5"/>
    <w:rsid w:val="005B13B4"/>
    <w:rsid w:val="005B20E7"/>
    <w:rsid w:val="005B2308"/>
    <w:rsid w:val="005B2EA5"/>
    <w:rsid w:val="005B369A"/>
    <w:rsid w:val="005B3949"/>
    <w:rsid w:val="005B3D26"/>
    <w:rsid w:val="005B4629"/>
    <w:rsid w:val="005B517A"/>
    <w:rsid w:val="005B560F"/>
    <w:rsid w:val="005B6CE4"/>
    <w:rsid w:val="005B6D3B"/>
    <w:rsid w:val="005B6DC1"/>
    <w:rsid w:val="005C055C"/>
    <w:rsid w:val="005C061E"/>
    <w:rsid w:val="005C0EE2"/>
    <w:rsid w:val="005C124B"/>
    <w:rsid w:val="005C276B"/>
    <w:rsid w:val="005C32CE"/>
    <w:rsid w:val="005C33DE"/>
    <w:rsid w:val="005C41F4"/>
    <w:rsid w:val="005C44E5"/>
    <w:rsid w:val="005C4666"/>
    <w:rsid w:val="005C4F36"/>
    <w:rsid w:val="005C563B"/>
    <w:rsid w:val="005C6232"/>
    <w:rsid w:val="005C6262"/>
    <w:rsid w:val="005C64A0"/>
    <w:rsid w:val="005C68A7"/>
    <w:rsid w:val="005D0716"/>
    <w:rsid w:val="005D1575"/>
    <w:rsid w:val="005D2D03"/>
    <w:rsid w:val="005D3797"/>
    <w:rsid w:val="005D3B3C"/>
    <w:rsid w:val="005D4E67"/>
    <w:rsid w:val="005D53D5"/>
    <w:rsid w:val="005D5691"/>
    <w:rsid w:val="005D60E8"/>
    <w:rsid w:val="005D61BD"/>
    <w:rsid w:val="005D6A7B"/>
    <w:rsid w:val="005D7110"/>
    <w:rsid w:val="005D72CC"/>
    <w:rsid w:val="005E067A"/>
    <w:rsid w:val="005E0D41"/>
    <w:rsid w:val="005E3E9F"/>
    <w:rsid w:val="005E4046"/>
    <w:rsid w:val="005E420A"/>
    <w:rsid w:val="005E4E35"/>
    <w:rsid w:val="005E6456"/>
    <w:rsid w:val="005E6510"/>
    <w:rsid w:val="005F0261"/>
    <w:rsid w:val="005F1F3C"/>
    <w:rsid w:val="005F31A1"/>
    <w:rsid w:val="005F4286"/>
    <w:rsid w:val="005F786E"/>
    <w:rsid w:val="005F7BB7"/>
    <w:rsid w:val="006002C8"/>
    <w:rsid w:val="00602399"/>
    <w:rsid w:val="00604117"/>
    <w:rsid w:val="00605957"/>
    <w:rsid w:val="006062BC"/>
    <w:rsid w:val="00606535"/>
    <w:rsid w:val="00606CC5"/>
    <w:rsid w:val="0060769F"/>
    <w:rsid w:val="006107F7"/>
    <w:rsid w:val="006115EA"/>
    <w:rsid w:val="00612413"/>
    <w:rsid w:val="0061275D"/>
    <w:rsid w:val="00612F56"/>
    <w:rsid w:val="00613401"/>
    <w:rsid w:val="00613D9F"/>
    <w:rsid w:val="00614CE4"/>
    <w:rsid w:val="00616B72"/>
    <w:rsid w:val="00617002"/>
    <w:rsid w:val="006209D9"/>
    <w:rsid w:val="00621C57"/>
    <w:rsid w:val="00621E7D"/>
    <w:rsid w:val="00622F49"/>
    <w:rsid w:val="00623340"/>
    <w:rsid w:val="006235CB"/>
    <w:rsid w:val="00624E52"/>
    <w:rsid w:val="00625F4B"/>
    <w:rsid w:val="00626F13"/>
    <w:rsid w:val="0063147B"/>
    <w:rsid w:val="00634BEA"/>
    <w:rsid w:val="00635159"/>
    <w:rsid w:val="006353B0"/>
    <w:rsid w:val="006356BF"/>
    <w:rsid w:val="0063606A"/>
    <w:rsid w:val="006361DF"/>
    <w:rsid w:val="00637CF7"/>
    <w:rsid w:val="00640A4D"/>
    <w:rsid w:val="00641557"/>
    <w:rsid w:val="006425CE"/>
    <w:rsid w:val="0064373E"/>
    <w:rsid w:val="00645689"/>
    <w:rsid w:val="006459B4"/>
    <w:rsid w:val="00645F02"/>
    <w:rsid w:val="006500B2"/>
    <w:rsid w:val="006509E8"/>
    <w:rsid w:val="00652408"/>
    <w:rsid w:val="006534A5"/>
    <w:rsid w:val="006545EF"/>
    <w:rsid w:val="006559A9"/>
    <w:rsid w:val="00656C0F"/>
    <w:rsid w:val="0066129E"/>
    <w:rsid w:val="006618D5"/>
    <w:rsid w:val="00661A76"/>
    <w:rsid w:val="0066272F"/>
    <w:rsid w:val="006636D1"/>
    <w:rsid w:val="006639EB"/>
    <w:rsid w:val="006654D9"/>
    <w:rsid w:val="00666657"/>
    <w:rsid w:val="00666DA4"/>
    <w:rsid w:val="00670640"/>
    <w:rsid w:val="0067144D"/>
    <w:rsid w:val="00672325"/>
    <w:rsid w:val="00672A78"/>
    <w:rsid w:val="0067351F"/>
    <w:rsid w:val="00673C07"/>
    <w:rsid w:val="00674574"/>
    <w:rsid w:val="00674A87"/>
    <w:rsid w:val="006750EE"/>
    <w:rsid w:val="00675C71"/>
    <w:rsid w:val="00676877"/>
    <w:rsid w:val="0067749E"/>
    <w:rsid w:val="006833A2"/>
    <w:rsid w:val="00683EE0"/>
    <w:rsid w:val="006852FE"/>
    <w:rsid w:val="0068669C"/>
    <w:rsid w:val="00686F95"/>
    <w:rsid w:val="006873C8"/>
    <w:rsid w:val="00687D39"/>
    <w:rsid w:val="0069063D"/>
    <w:rsid w:val="00690C0D"/>
    <w:rsid w:val="00691977"/>
    <w:rsid w:val="00691C09"/>
    <w:rsid w:val="00691F1F"/>
    <w:rsid w:val="00693951"/>
    <w:rsid w:val="00693A9F"/>
    <w:rsid w:val="00693F1D"/>
    <w:rsid w:val="006941EE"/>
    <w:rsid w:val="0069514D"/>
    <w:rsid w:val="006964E5"/>
    <w:rsid w:val="00696C23"/>
    <w:rsid w:val="006A0201"/>
    <w:rsid w:val="006A024F"/>
    <w:rsid w:val="006A1424"/>
    <w:rsid w:val="006A1759"/>
    <w:rsid w:val="006A27EE"/>
    <w:rsid w:val="006A2EB9"/>
    <w:rsid w:val="006A39C7"/>
    <w:rsid w:val="006A528A"/>
    <w:rsid w:val="006A5604"/>
    <w:rsid w:val="006A5A9D"/>
    <w:rsid w:val="006A6766"/>
    <w:rsid w:val="006A6831"/>
    <w:rsid w:val="006A6E1D"/>
    <w:rsid w:val="006A6EBD"/>
    <w:rsid w:val="006A7267"/>
    <w:rsid w:val="006A74A0"/>
    <w:rsid w:val="006A7A3E"/>
    <w:rsid w:val="006B122F"/>
    <w:rsid w:val="006B1DF8"/>
    <w:rsid w:val="006B254F"/>
    <w:rsid w:val="006B2D5D"/>
    <w:rsid w:val="006B3219"/>
    <w:rsid w:val="006B3D71"/>
    <w:rsid w:val="006B63B7"/>
    <w:rsid w:val="006B67CE"/>
    <w:rsid w:val="006B6F2A"/>
    <w:rsid w:val="006B74C2"/>
    <w:rsid w:val="006B7DE0"/>
    <w:rsid w:val="006C0720"/>
    <w:rsid w:val="006C208D"/>
    <w:rsid w:val="006C6ADF"/>
    <w:rsid w:val="006C6BDE"/>
    <w:rsid w:val="006C736D"/>
    <w:rsid w:val="006C7F5A"/>
    <w:rsid w:val="006D0093"/>
    <w:rsid w:val="006D012B"/>
    <w:rsid w:val="006D148F"/>
    <w:rsid w:val="006D2E93"/>
    <w:rsid w:val="006D3517"/>
    <w:rsid w:val="006D4D3A"/>
    <w:rsid w:val="006D68CD"/>
    <w:rsid w:val="006D792F"/>
    <w:rsid w:val="006E026D"/>
    <w:rsid w:val="006E05B7"/>
    <w:rsid w:val="006E0A10"/>
    <w:rsid w:val="006E22DC"/>
    <w:rsid w:val="006E3E68"/>
    <w:rsid w:val="006E5ED3"/>
    <w:rsid w:val="006E5FD4"/>
    <w:rsid w:val="006E734C"/>
    <w:rsid w:val="006F0A5E"/>
    <w:rsid w:val="006F2B2E"/>
    <w:rsid w:val="006F33DF"/>
    <w:rsid w:val="006F36A3"/>
    <w:rsid w:val="006F38D8"/>
    <w:rsid w:val="006F38FE"/>
    <w:rsid w:val="006F3ACD"/>
    <w:rsid w:val="006F44C8"/>
    <w:rsid w:val="006F74B8"/>
    <w:rsid w:val="006F750C"/>
    <w:rsid w:val="006F7C64"/>
    <w:rsid w:val="00700550"/>
    <w:rsid w:val="007028C8"/>
    <w:rsid w:val="0070449E"/>
    <w:rsid w:val="0070563A"/>
    <w:rsid w:val="007069C0"/>
    <w:rsid w:val="007072DC"/>
    <w:rsid w:val="00707A5F"/>
    <w:rsid w:val="00707AFB"/>
    <w:rsid w:val="00711267"/>
    <w:rsid w:val="007112AD"/>
    <w:rsid w:val="00711B64"/>
    <w:rsid w:val="00711ED9"/>
    <w:rsid w:val="00713BEC"/>
    <w:rsid w:val="007142FB"/>
    <w:rsid w:val="007143C1"/>
    <w:rsid w:val="007144E1"/>
    <w:rsid w:val="0071526D"/>
    <w:rsid w:val="0071561D"/>
    <w:rsid w:val="00715956"/>
    <w:rsid w:val="00716050"/>
    <w:rsid w:val="007168DE"/>
    <w:rsid w:val="00720114"/>
    <w:rsid w:val="007219C7"/>
    <w:rsid w:val="0072368F"/>
    <w:rsid w:val="00723C8A"/>
    <w:rsid w:val="00724305"/>
    <w:rsid w:val="00725A39"/>
    <w:rsid w:val="00727C3D"/>
    <w:rsid w:val="00730A93"/>
    <w:rsid w:val="00734148"/>
    <w:rsid w:val="00734FE2"/>
    <w:rsid w:val="007364E3"/>
    <w:rsid w:val="0074144E"/>
    <w:rsid w:val="007438EB"/>
    <w:rsid w:val="007442BF"/>
    <w:rsid w:val="00744699"/>
    <w:rsid w:val="00744888"/>
    <w:rsid w:val="00744D81"/>
    <w:rsid w:val="00745A26"/>
    <w:rsid w:val="00746657"/>
    <w:rsid w:val="007466DB"/>
    <w:rsid w:val="0074673E"/>
    <w:rsid w:val="00746750"/>
    <w:rsid w:val="00750F3C"/>
    <w:rsid w:val="00752562"/>
    <w:rsid w:val="007527EA"/>
    <w:rsid w:val="00753F08"/>
    <w:rsid w:val="0075521F"/>
    <w:rsid w:val="00755FDE"/>
    <w:rsid w:val="00757690"/>
    <w:rsid w:val="00762F6C"/>
    <w:rsid w:val="007635F2"/>
    <w:rsid w:val="00764528"/>
    <w:rsid w:val="00764DBD"/>
    <w:rsid w:val="00765D84"/>
    <w:rsid w:val="00771241"/>
    <w:rsid w:val="00773357"/>
    <w:rsid w:val="00776B45"/>
    <w:rsid w:val="0078046C"/>
    <w:rsid w:val="007804B8"/>
    <w:rsid w:val="00781ABC"/>
    <w:rsid w:val="00785103"/>
    <w:rsid w:val="007865AB"/>
    <w:rsid w:val="0078685E"/>
    <w:rsid w:val="00786888"/>
    <w:rsid w:val="00787011"/>
    <w:rsid w:val="00787DBC"/>
    <w:rsid w:val="0079193D"/>
    <w:rsid w:val="00792642"/>
    <w:rsid w:val="00793856"/>
    <w:rsid w:val="00793AB3"/>
    <w:rsid w:val="00795324"/>
    <w:rsid w:val="00795DB6"/>
    <w:rsid w:val="00797A33"/>
    <w:rsid w:val="00797C57"/>
    <w:rsid w:val="007A009C"/>
    <w:rsid w:val="007A009E"/>
    <w:rsid w:val="007A0120"/>
    <w:rsid w:val="007A1D4F"/>
    <w:rsid w:val="007A377F"/>
    <w:rsid w:val="007A38B7"/>
    <w:rsid w:val="007A40ED"/>
    <w:rsid w:val="007A43E8"/>
    <w:rsid w:val="007A464C"/>
    <w:rsid w:val="007A469B"/>
    <w:rsid w:val="007A5E8F"/>
    <w:rsid w:val="007A6CC4"/>
    <w:rsid w:val="007A78BB"/>
    <w:rsid w:val="007B056E"/>
    <w:rsid w:val="007B10B4"/>
    <w:rsid w:val="007B3DE0"/>
    <w:rsid w:val="007B5237"/>
    <w:rsid w:val="007B6EAF"/>
    <w:rsid w:val="007B70AB"/>
    <w:rsid w:val="007B7313"/>
    <w:rsid w:val="007B77DE"/>
    <w:rsid w:val="007B7C1B"/>
    <w:rsid w:val="007B7F12"/>
    <w:rsid w:val="007C05E4"/>
    <w:rsid w:val="007C3347"/>
    <w:rsid w:val="007C37AE"/>
    <w:rsid w:val="007C4969"/>
    <w:rsid w:val="007C4D44"/>
    <w:rsid w:val="007C6193"/>
    <w:rsid w:val="007C61C5"/>
    <w:rsid w:val="007D0715"/>
    <w:rsid w:val="007D0E91"/>
    <w:rsid w:val="007D1281"/>
    <w:rsid w:val="007D288A"/>
    <w:rsid w:val="007D3512"/>
    <w:rsid w:val="007D5B3E"/>
    <w:rsid w:val="007D635D"/>
    <w:rsid w:val="007E01E2"/>
    <w:rsid w:val="007E0A83"/>
    <w:rsid w:val="007E2267"/>
    <w:rsid w:val="007E3FC0"/>
    <w:rsid w:val="007E49A4"/>
    <w:rsid w:val="007E535E"/>
    <w:rsid w:val="007E63A9"/>
    <w:rsid w:val="007E7EA2"/>
    <w:rsid w:val="007F1257"/>
    <w:rsid w:val="007F2149"/>
    <w:rsid w:val="007F2CD7"/>
    <w:rsid w:val="007F2F71"/>
    <w:rsid w:val="007F30E2"/>
    <w:rsid w:val="007F4E6E"/>
    <w:rsid w:val="007F4E7A"/>
    <w:rsid w:val="007F5302"/>
    <w:rsid w:val="007F6A8F"/>
    <w:rsid w:val="0080078B"/>
    <w:rsid w:val="00800809"/>
    <w:rsid w:val="00800FA1"/>
    <w:rsid w:val="0080152A"/>
    <w:rsid w:val="008020B2"/>
    <w:rsid w:val="0080252F"/>
    <w:rsid w:val="00802631"/>
    <w:rsid w:val="008051DD"/>
    <w:rsid w:val="00805C71"/>
    <w:rsid w:val="00805E73"/>
    <w:rsid w:val="008076E6"/>
    <w:rsid w:val="00810EB4"/>
    <w:rsid w:val="008112C3"/>
    <w:rsid w:val="0081239E"/>
    <w:rsid w:val="00812E96"/>
    <w:rsid w:val="00813A3F"/>
    <w:rsid w:val="00814791"/>
    <w:rsid w:val="00815D48"/>
    <w:rsid w:val="00816712"/>
    <w:rsid w:val="00817BE9"/>
    <w:rsid w:val="008210FB"/>
    <w:rsid w:val="0082216F"/>
    <w:rsid w:val="0082301C"/>
    <w:rsid w:val="0082467B"/>
    <w:rsid w:val="00824D08"/>
    <w:rsid w:val="00825633"/>
    <w:rsid w:val="008268DC"/>
    <w:rsid w:val="0083095B"/>
    <w:rsid w:val="00830C61"/>
    <w:rsid w:val="00830CAE"/>
    <w:rsid w:val="00831212"/>
    <w:rsid w:val="00831C6B"/>
    <w:rsid w:val="008324C2"/>
    <w:rsid w:val="00832518"/>
    <w:rsid w:val="008345F1"/>
    <w:rsid w:val="008356DF"/>
    <w:rsid w:val="00836791"/>
    <w:rsid w:val="00837868"/>
    <w:rsid w:val="00837B15"/>
    <w:rsid w:val="00837BA9"/>
    <w:rsid w:val="00837C95"/>
    <w:rsid w:val="00840FA1"/>
    <w:rsid w:val="008431A9"/>
    <w:rsid w:val="008436F2"/>
    <w:rsid w:val="00845D80"/>
    <w:rsid w:val="00846771"/>
    <w:rsid w:val="0085044A"/>
    <w:rsid w:val="00850747"/>
    <w:rsid w:val="00851C64"/>
    <w:rsid w:val="00851E1F"/>
    <w:rsid w:val="00852386"/>
    <w:rsid w:val="00852A40"/>
    <w:rsid w:val="00854D11"/>
    <w:rsid w:val="00854E8C"/>
    <w:rsid w:val="00854F66"/>
    <w:rsid w:val="0085537F"/>
    <w:rsid w:val="008559D2"/>
    <w:rsid w:val="00857DE7"/>
    <w:rsid w:val="00860236"/>
    <w:rsid w:val="008605F1"/>
    <w:rsid w:val="0086126D"/>
    <w:rsid w:val="00861A32"/>
    <w:rsid w:val="008636ED"/>
    <w:rsid w:val="00864C95"/>
    <w:rsid w:val="00865B7A"/>
    <w:rsid w:val="00866B47"/>
    <w:rsid w:val="00866DAA"/>
    <w:rsid w:val="008673ED"/>
    <w:rsid w:val="00867BF3"/>
    <w:rsid w:val="00870BFB"/>
    <w:rsid w:val="008716CA"/>
    <w:rsid w:val="00872C9E"/>
    <w:rsid w:val="008742B5"/>
    <w:rsid w:val="00874485"/>
    <w:rsid w:val="00875C50"/>
    <w:rsid w:val="00876F72"/>
    <w:rsid w:val="00880042"/>
    <w:rsid w:val="00880571"/>
    <w:rsid w:val="00880DCD"/>
    <w:rsid w:val="0088152A"/>
    <w:rsid w:val="0088282A"/>
    <w:rsid w:val="008838AE"/>
    <w:rsid w:val="00884318"/>
    <w:rsid w:val="008850BF"/>
    <w:rsid w:val="00886DF6"/>
    <w:rsid w:val="00887089"/>
    <w:rsid w:val="008878D5"/>
    <w:rsid w:val="00890583"/>
    <w:rsid w:val="00890EEE"/>
    <w:rsid w:val="00891348"/>
    <w:rsid w:val="00891425"/>
    <w:rsid w:val="00893331"/>
    <w:rsid w:val="00893B69"/>
    <w:rsid w:val="00893E31"/>
    <w:rsid w:val="00895986"/>
    <w:rsid w:val="00896333"/>
    <w:rsid w:val="00897B7B"/>
    <w:rsid w:val="008A334B"/>
    <w:rsid w:val="008A5FFE"/>
    <w:rsid w:val="008A61B1"/>
    <w:rsid w:val="008B12DA"/>
    <w:rsid w:val="008B1851"/>
    <w:rsid w:val="008B1DBA"/>
    <w:rsid w:val="008B1F87"/>
    <w:rsid w:val="008B3978"/>
    <w:rsid w:val="008B3B3A"/>
    <w:rsid w:val="008B4FFA"/>
    <w:rsid w:val="008B5A72"/>
    <w:rsid w:val="008B7859"/>
    <w:rsid w:val="008C2E0E"/>
    <w:rsid w:val="008C3313"/>
    <w:rsid w:val="008C4F44"/>
    <w:rsid w:val="008C5D9C"/>
    <w:rsid w:val="008C67DF"/>
    <w:rsid w:val="008C71B8"/>
    <w:rsid w:val="008D0569"/>
    <w:rsid w:val="008D20D7"/>
    <w:rsid w:val="008D2308"/>
    <w:rsid w:val="008D396D"/>
    <w:rsid w:val="008D40B9"/>
    <w:rsid w:val="008D418F"/>
    <w:rsid w:val="008D5185"/>
    <w:rsid w:val="008D7382"/>
    <w:rsid w:val="008E18D2"/>
    <w:rsid w:val="008E28E4"/>
    <w:rsid w:val="008E2F65"/>
    <w:rsid w:val="008E389F"/>
    <w:rsid w:val="008E5B34"/>
    <w:rsid w:val="008E7806"/>
    <w:rsid w:val="008F05C7"/>
    <w:rsid w:val="008F07D1"/>
    <w:rsid w:val="008F27AE"/>
    <w:rsid w:val="008F32EF"/>
    <w:rsid w:val="008F3364"/>
    <w:rsid w:val="008F4796"/>
    <w:rsid w:val="008F5E8B"/>
    <w:rsid w:val="008F5FA2"/>
    <w:rsid w:val="008F602B"/>
    <w:rsid w:val="008F6080"/>
    <w:rsid w:val="008F6B17"/>
    <w:rsid w:val="008F6C12"/>
    <w:rsid w:val="008F75DB"/>
    <w:rsid w:val="00900151"/>
    <w:rsid w:val="00901931"/>
    <w:rsid w:val="00901B3C"/>
    <w:rsid w:val="00902767"/>
    <w:rsid w:val="0090289B"/>
    <w:rsid w:val="00904907"/>
    <w:rsid w:val="00904BAD"/>
    <w:rsid w:val="00906ACD"/>
    <w:rsid w:val="00907D97"/>
    <w:rsid w:val="0091086A"/>
    <w:rsid w:val="00910C19"/>
    <w:rsid w:val="00910C42"/>
    <w:rsid w:val="00913C25"/>
    <w:rsid w:val="00913EC6"/>
    <w:rsid w:val="00915687"/>
    <w:rsid w:val="009157F1"/>
    <w:rsid w:val="0091697A"/>
    <w:rsid w:val="00916983"/>
    <w:rsid w:val="00916AC1"/>
    <w:rsid w:val="00916EE1"/>
    <w:rsid w:val="00917F23"/>
    <w:rsid w:val="00922D2E"/>
    <w:rsid w:val="00922E7A"/>
    <w:rsid w:val="00922EED"/>
    <w:rsid w:val="0092315E"/>
    <w:rsid w:val="00925E28"/>
    <w:rsid w:val="009275CB"/>
    <w:rsid w:val="0092783E"/>
    <w:rsid w:val="00930837"/>
    <w:rsid w:val="00930DC5"/>
    <w:rsid w:val="0093139B"/>
    <w:rsid w:val="00931568"/>
    <w:rsid w:val="00935A3F"/>
    <w:rsid w:val="00944DE5"/>
    <w:rsid w:val="00945B06"/>
    <w:rsid w:val="00945C4B"/>
    <w:rsid w:val="0094641A"/>
    <w:rsid w:val="00946C4E"/>
    <w:rsid w:val="00950C09"/>
    <w:rsid w:val="009513B9"/>
    <w:rsid w:val="009517C9"/>
    <w:rsid w:val="0095297E"/>
    <w:rsid w:val="00954280"/>
    <w:rsid w:val="009543FE"/>
    <w:rsid w:val="0095575D"/>
    <w:rsid w:val="00955B26"/>
    <w:rsid w:val="00955DEB"/>
    <w:rsid w:val="00955E6D"/>
    <w:rsid w:val="009565C1"/>
    <w:rsid w:val="00957F2F"/>
    <w:rsid w:val="009606B3"/>
    <w:rsid w:val="00960C04"/>
    <w:rsid w:val="009611BB"/>
    <w:rsid w:val="00961541"/>
    <w:rsid w:val="00961597"/>
    <w:rsid w:val="009617F5"/>
    <w:rsid w:val="0096260B"/>
    <w:rsid w:val="00963FBF"/>
    <w:rsid w:val="009659DE"/>
    <w:rsid w:val="00965D76"/>
    <w:rsid w:val="009662AA"/>
    <w:rsid w:val="00967A9C"/>
    <w:rsid w:val="00971320"/>
    <w:rsid w:val="00971B33"/>
    <w:rsid w:val="0097441C"/>
    <w:rsid w:val="00975215"/>
    <w:rsid w:val="009754F8"/>
    <w:rsid w:val="009765EA"/>
    <w:rsid w:val="00977881"/>
    <w:rsid w:val="00980121"/>
    <w:rsid w:val="009820F3"/>
    <w:rsid w:val="00983447"/>
    <w:rsid w:val="009842FE"/>
    <w:rsid w:val="009863A0"/>
    <w:rsid w:val="00987B4D"/>
    <w:rsid w:val="00990082"/>
    <w:rsid w:val="009905F0"/>
    <w:rsid w:val="00990CF5"/>
    <w:rsid w:val="009918F8"/>
    <w:rsid w:val="0099322C"/>
    <w:rsid w:val="00997489"/>
    <w:rsid w:val="009A06FC"/>
    <w:rsid w:val="009A27D5"/>
    <w:rsid w:val="009A2EC3"/>
    <w:rsid w:val="009A3FE8"/>
    <w:rsid w:val="009A49E6"/>
    <w:rsid w:val="009A4C97"/>
    <w:rsid w:val="009A59A5"/>
    <w:rsid w:val="009A66D8"/>
    <w:rsid w:val="009A6BE5"/>
    <w:rsid w:val="009A7F8B"/>
    <w:rsid w:val="009A7FE5"/>
    <w:rsid w:val="009B1454"/>
    <w:rsid w:val="009B1F03"/>
    <w:rsid w:val="009B3666"/>
    <w:rsid w:val="009B4A0F"/>
    <w:rsid w:val="009B69BE"/>
    <w:rsid w:val="009B713F"/>
    <w:rsid w:val="009B7438"/>
    <w:rsid w:val="009B7514"/>
    <w:rsid w:val="009C188C"/>
    <w:rsid w:val="009C1A48"/>
    <w:rsid w:val="009C3964"/>
    <w:rsid w:val="009C3C71"/>
    <w:rsid w:val="009C3CA6"/>
    <w:rsid w:val="009C4456"/>
    <w:rsid w:val="009C46F1"/>
    <w:rsid w:val="009C4915"/>
    <w:rsid w:val="009C5106"/>
    <w:rsid w:val="009C6517"/>
    <w:rsid w:val="009C7634"/>
    <w:rsid w:val="009C7DDA"/>
    <w:rsid w:val="009D0622"/>
    <w:rsid w:val="009D23E3"/>
    <w:rsid w:val="009D348D"/>
    <w:rsid w:val="009D3CD5"/>
    <w:rsid w:val="009D4C63"/>
    <w:rsid w:val="009D50A3"/>
    <w:rsid w:val="009D5CB2"/>
    <w:rsid w:val="009D60AD"/>
    <w:rsid w:val="009D6EF4"/>
    <w:rsid w:val="009E0A04"/>
    <w:rsid w:val="009E220B"/>
    <w:rsid w:val="009E440A"/>
    <w:rsid w:val="009E483C"/>
    <w:rsid w:val="009E5005"/>
    <w:rsid w:val="009E6254"/>
    <w:rsid w:val="009E687F"/>
    <w:rsid w:val="009E697D"/>
    <w:rsid w:val="009E7106"/>
    <w:rsid w:val="009E76BF"/>
    <w:rsid w:val="009E7BD4"/>
    <w:rsid w:val="009F3700"/>
    <w:rsid w:val="009F56EB"/>
    <w:rsid w:val="009F7DAB"/>
    <w:rsid w:val="009F7FBB"/>
    <w:rsid w:val="00A0176A"/>
    <w:rsid w:val="00A039F8"/>
    <w:rsid w:val="00A042C7"/>
    <w:rsid w:val="00A066EA"/>
    <w:rsid w:val="00A068B0"/>
    <w:rsid w:val="00A070B0"/>
    <w:rsid w:val="00A073EF"/>
    <w:rsid w:val="00A074EB"/>
    <w:rsid w:val="00A101CA"/>
    <w:rsid w:val="00A10B2D"/>
    <w:rsid w:val="00A12141"/>
    <w:rsid w:val="00A1240B"/>
    <w:rsid w:val="00A13549"/>
    <w:rsid w:val="00A1409A"/>
    <w:rsid w:val="00A14BE9"/>
    <w:rsid w:val="00A1628C"/>
    <w:rsid w:val="00A16373"/>
    <w:rsid w:val="00A16B00"/>
    <w:rsid w:val="00A16D53"/>
    <w:rsid w:val="00A16F00"/>
    <w:rsid w:val="00A171EC"/>
    <w:rsid w:val="00A216B6"/>
    <w:rsid w:val="00A21945"/>
    <w:rsid w:val="00A24122"/>
    <w:rsid w:val="00A26EFF"/>
    <w:rsid w:val="00A27491"/>
    <w:rsid w:val="00A308AB"/>
    <w:rsid w:val="00A30DB5"/>
    <w:rsid w:val="00A3179D"/>
    <w:rsid w:val="00A318A0"/>
    <w:rsid w:val="00A31C7B"/>
    <w:rsid w:val="00A320ED"/>
    <w:rsid w:val="00A3225A"/>
    <w:rsid w:val="00A32435"/>
    <w:rsid w:val="00A339FF"/>
    <w:rsid w:val="00A34232"/>
    <w:rsid w:val="00A3483A"/>
    <w:rsid w:val="00A34DF6"/>
    <w:rsid w:val="00A3530B"/>
    <w:rsid w:val="00A35362"/>
    <w:rsid w:val="00A37998"/>
    <w:rsid w:val="00A37C3F"/>
    <w:rsid w:val="00A40177"/>
    <w:rsid w:val="00A40E6B"/>
    <w:rsid w:val="00A4263E"/>
    <w:rsid w:val="00A432D9"/>
    <w:rsid w:val="00A44BCC"/>
    <w:rsid w:val="00A450D8"/>
    <w:rsid w:val="00A46C19"/>
    <w:rsid w:val="00A503B0"/>
    <w:rsid w:val="00A50FCD"/>
    <w:rsid w:val="00A51CB5"/>
    <w:rsid w:val="00A52A3D"/>
    <w:rsid w:val="00A52C70"/>
    <w:rsid w:val="00A52EEA"/>
    <w:rsid w:val="00A53313"/>
    <w:rsid w:val="00A53EEF"/>
    <w:rsid w:val="00A552A2"/>
    <w:rsid w:val="00A552DD"/>
    <w:rsid w:val="00A557E2"/>
    <w:rsid w:val="00A565B9"/>
    <w:rsid w:val="00A57EFA"/>
    <w:rsid w:val="00A6041F"/>
    <w:rsid w:val="00A60DCC"/>
    <w:rsid w:val="00A6115A"/>
    <w:rsid w:val="00A62243"/>
    <w:rsid w:val="00A628A2"/>
    <w:rsid w:val="00A62BF6"/>
    <w:rsid w:val="00A63229"/>
    <w:rsid w:val="00A63DBE"/>
    <w:rsid w:val="00A643B7"/>
    <w:rsid w:val="00A64AAD"/>
    <w:rsid w:val="00A65DC6"/>
    <w:rsid w:val="00A70482"/>
    <w:rsid w:val="00A709B3"/>
    <w:rsid w:val="00A7197F"/>
    <w:rsid w:val="00A71B27"/>
    <w:rsid w:val="00A73427"/>
    <w:rsid w:val="00A74F5F"/>
    <w:rsid w:val="00A75736"/>
    <w:rsid w:val="00A760F9"/>
    <w:rsid w:val="00A77074"/>
    <w:rsid w:val="00A800AB"/>
    <w:rsid w:val="00A81827"/>
    <w:rsid w:val="00A81AFA"/>
    <w:rsid w:val="00A81DA2"/>
    <w:rsid w:val="00A82EC3"/>
    <w:rsid w:val="00A844A3"/>
    <w:rsid w:val="00A84844"/>
    <w:rsid w:val="00A84AEB"/>
    <w:rsid w:val="00A84C5C"/>
    <w:rsid w:val="00A84D6A"/>
    <w:rsid w:val="00A876FF"/>
    <w:rsid w:val="00A90358"/>
    <w:rsid w:val="00A9123F"/>
    <w:rsid w:val="00A93B0A"/>
    <w:rsid w:val="00A94F9D"/>
    <w:rsid w:val="00A97C99"/>
    <w:rsid w:val="00AA0577"/>
    <w:rsid w:val="00AA105B"/>
    <w:rsid w:val="00AA19FC"/>
    <w:rsid w:val="00AA28B2"/>
    <w:rsid w:val="00AA3689"/>
    <w:rsid w:val="00AA3D54"/>
    <w:rsid w:val="00AA3F5F"/>
    <w:rsid w:val="00AA4224"/>
    <w:rsid w:val="00AB128F"/>
    <w:rsid w:val="00AB24B1"/>
    <w:rsid w:val="00AB2CE2"/>
    <w:rsid w:val="00AB4F12"/>
    <w:rsid w:val="00AB5825"/>
    <w:rsid w:val="00AC138F"/>
    <w:rsid w:val="00AC154C"/>
    <w:rsid w:val="00AC1C73"/>
    <w:rsid w:val="00AC1D5E"/>
    <w:rsid w:val="00AC1E5B"/>
    <w:rsid w:val="00AC20D0"/>
    <w:rsid w:val="00AC35A9"/>
    <w:rsid w:val="00AC381C"/>
    <w:rsid w:val="00AC3E05"/>
    <w:rsid w:val="00AC43AE"/>
    <w:rsid w:val="00AC4CB9"/>
    <w:rsid w:val="00AC50C5"/>
    <w:rsid w:val="00AC5688"/>
    <w:rsid w:val="00AC6FE1"/>
    <w:rsid w:val="00AD01F6"/>
    <w:rsid w:val="00AD0935"/>
    <w:rsid w:val="00AD168F"/>
    <w:rsid w:val="00AD187B"/>
    <w:rsid w:val="00AD34D7"/>
    <w:rsid w:val="00AD3DD7"/>
    <w:rsid w:val="00AE0E8E"/>
    <w:rsid w:val="00AE2752"/>
    <w:rsid w:val="00AE3B46"/>
    <w:rsid w:val="00AE4327"/>
    <w:rsid w:val="00AE552D"/>
    <w:rsid w:val="00AE5F3F"/>
    <w:rsid w:val="00AE6C5B"/>
    <w:rsid w:val="00AE72E8"/>
    <w:rsid w:val="00AE7BFF"/>
    <w:rsid w:val="00AE7DD0"/>
    <w:rsid w:val="00AF0388"/>
    <w:rsid w:val="00AF0409"/>
    <w:rsid w:val="00AF374C"/>
    <w:rsid w:val="00AF42A1"/>
    <w:rsid w:val="00AF5854"/>
    <w:rsid w:val="00AF601C"/>
    <w:rsid w:val="00AF7087"/>
    <w:rsid w:val="00AF7149"/>
    <w:rsid w:val="00B00C00"/>
    <w:rsid w:val="00B00CFC"/>
    <w:rsid w:val="00B016FF"/>
    <w:rsid w:val="00B03657"/>
    <w:rsid w:val="00B03B0B"/>
    <w:rsid w:val="00B03CE9"/>
    <w:rsid w:val="00B0463C"/>
    <w:rsid w:val="00B048B7"/>
    <w:rsid w:val="00B050CD"/>
    <w:rsid w:val="00B05C21"/>
    <w:rsid w:val="00B06F0D"/>
    <w:rsid w:val="00B07C13"/>
    <w:rsid w:val="00B110E8"/>
    <w:rsid w:val="00B11539"/>
    <w:rsid w:val="00B1181D"/>
    <w:rsid w:val="00B11F03"/>
    <w:rsid w:val="00B124C3"/>
    <w:rsid w:val="00B13A06"/>
    <w:rsid w:val="00B13C0D"/>
    <w:rsid w:val="00B160CA"/>
    <w:rsid w:val="00B16708"/>
    <w:rsid w:val="00B2016A"/>
    <w:rsid w:val="00B20596"/>
    <w:rsid w:val="00B21075"/>
    <w:rsid w:val="00B24481"/>
    <w:rsid w:val="00B24593"/>
    <w:rsid w:val="00B24C3D"/>
    <w:rsid w:val="00B24E04"/>
    <w:rsid w:val="00B25C5D"/>
    <w:rsid w:val="00B25FC7"/>
    <w:rsid w:val="00B26029"/>
    <w:rsid w:val="00B266FB"/>
    <w:rsid w:val="00B26F1E"/>
    <w:rsid w:val="00B26F3C"/>
    <w:rsid w:val="00B27279"/>
    <w:rsid w:val="00B279E8"/>
    <w:rsid w:val="00B27CDA"/>
    <w:rsid w:val="00B30045"/>
    <w:rsid w:val="00B321D4"/>
    <w:rsid w:val="00B33274"/>
    <w:rsid w:val="00B33AA5"/>
    <w:rsid w:val="00B3440E"/>
    <w:rsid w:val="00B366F4"/>
    <w:rsid w:val="00B369A6"/>
    <w:rsid w:val="00B3753D"/>
    <w:rsid w:val="00B37BC7"/>
    <w:rsid w:val="00B40F4F"/>
    <w:rsid w:val="00B44B89"/>
    <w:rsid w:val="00B44C66"/>
    <w:rsid w:val="00B44E71"/>
    <w:rsid w:val="00B45273"/>
    <w:rsid w:val="00B45460"/>
    <w:rsid w:val="00B457F4"/>
    <w:rsid w:val="00B45EA1"/>
    <w:rsid w:val="00B474B6"/>
    <w:rsid w:val="00B47842"/>
    <w:rsid w:val="00B47846"/>
    <w:rsid w:val="00B47B4C"/>
    <w:rsid w:val="00B47E19"/>
    <w:rsid w:val="00B5050C"/>
    <w:rsid w:val="00B5066B"/>
    <w:rsid w:val="00B50B49"/>
    <w:rsid w:val="00B5288C"/>
    <w:rsid w:val="00B528F7"/>
    <w:rsid w:val="00B5316F"/>
    <w:rsid w:val="00B537B5"/>
    <w:rsid w:val="00B5393C"/>
    <w:rsid w:val="00B557B6"/>
    <w:rsid w:val="00B5623A"/>
    <w:rsid w:val="00B5798F"/>
    <w:rsid w:val="00B60B67"/>
    <w:rsid w:val="00B61273"/>
    <w:rsid w:val="00B616FF"/>
    <w:rsid w:val="00B62486"/>
    <w:rsid w:val="00B63649"/>
    <w:rsid w:val="00B63C90"/>
    <w:rsid w:val="00B64BB5"/>
    <w:rsid w:val="00B65534"/>
    <w:rsid w:val="00B66747"/>
    <w:rsid w:val="00B6762A"/>
    <w:rsid w:val="00B701BF"/>
    <w:rsid w:val="00B704C0"/>
    <w:rsid w:val="00B70F9A"/>
    <w:rsid w:val="00B71CA9"/>
    <w:rsid w:val="00B72F2D"/>
    <w:rsid w:val="00B74B2E"/>
    <w:rsid w:val="00B75CD7"/>
    <w:rsid w:val="00B8042A"/>
    <w:rsid w:val="00B80F13"/>
    <w:rsid w:val="00B81369"/>
    <w:rsid w:val="00B81680"/>
    <w:rsid w:val="00B8194A"/>
    <w:rsid w:val="00B81EB2"/>
    <w:rsid w:val="00B84692"/>
    <w:rsid w:val="00B85720"/>
    <w:rsid w:val="00B86512"/>
    <w:rsid w:val="00B865BC"/>
    <w:rsid w:val="00B87375"/>
    <w:rsid w:val="00B878B5"/>
    <w:rsid w:val="00B90DB3"/>
    <w:rsid w:val="00B91BC6"/>
    <w:rsid w:val="00B92373"/>
    <w:rsid w:val="00B9251B"/>
    <w:rsid w:val="00B94313"/>
    <w:rsid w:val="00B9488C"/>
    <w:rsid w:val="00B94973"/>
    <w:rsid w:val="00B9550B"/>
    <w:rsid w:val="00B960BF"/>
    <w:rsid w:val="00B96402"/>
    <w:rsid w:val="00B9778E"/>
    <w:rsid w:val="00BA1381"/>
    <w:rsid w:val="00BA145F"/>
    <w:rsid w:val="00BA1D66"/>
    <w:rsid w:val="00BA29AB"/>
    <w:rsid w:val="00BA2BBB"/>
    <w:rsid w:val="00BA4EF8"/>
    <w:rsid w:val="00BA710F"/>
    <w:rsid w:val="00BA754F"/>
    <w:rsid w:val="00BA7A5C"/>
    <w:rsid w:val="00BB005C"/>
    <w:rsid w:val="00BB1A21"/>
    <w:rsid w:val="00BB1AAE"/>
    <w:rsid w:val="00BB2C95"/>
    <w:rsid w:val="00BB2D3E"/>
    <w:rsid w:val="00BB3B8C"/>
    <w:rsid w:val="00BB4535"/>
    <w:rsid w:val="00BB4561"/>
    <w:rsid w:val="00BB5120"/>
    <w:rsid w:val="00BB5D7A"/>
    <w:rsid w:val="00BB63FA"/>
    <w:rsid w:val="00BB7463"/>
    <w:rsid w:val="00BB780E"/>
    <w:rsid w:val="00BC18AB"/>
    <w:rsid w:val="00BC24BC"/>
    <w:rsid w:val="00BC479B"/>
    <w:rsid w:val="00BC4911"/>
    <w:rsid w:val="00BC4D78"/>
    <w:rsid w:val="00BC61BB"/>
    <w:rsid w:val="00BD0508"/>
    <w:rsid w:val="00BD0B42"/>
    <w:rsid w:val="00BD0B8A"/>
    <w:rsid w:val="00BD1946"/>
    <w:rsid w:val="00BD2425"/>
    <w:rsid w:val="00BD376B"/>
    <w:rsid w:val="00BD3D58"/>
    <w:rsid w:val="00BD44F9"/>
    <w:rsid w:val="00BD58EF"/>
    <w:rsid w:val="00BD6F3E"/>
    <w:rsid w:val="00BD742E"/>
    <w:rsid w:val="00BD753B"/>
    <w:rsid w:val="00BD7AB0"/>
    <w:rsid w:val="00BE0363"/>
    <w:rsid w:val="00BE0985"/>
    <w:rsid w:val="00BE0E8B"/>
    <w:rsid w:val="00BE113E"/>
    <w:rsid w:val="00BE192D"/>
    <w:rsid w:val="00BE1BBF"/>
    <w:rsid w:val="00BE203C"/>
    <w:rsid w:val="00BE2C2F"/>
    <w:rsid w:val="00BE3116"/>
    <w:rsid w:val="00BE3ED3"/>
    <w:rsid w:val="00BE3F05"/>
    <w:rsid w:val="00BE4C6A"/>
    <w:rsid w:val="00BE4F83"/>
    <w:rsid w:val="00BE5044"/>
    <w:rsid w:val="00BE54CC"/>
    <w:rsid w:val="00BE5DD2"/>
    <w:rsid w:val="00BE60E7"/>
    <w:rsid w:val="00BF00CA"/>
    <w:rsid w:val="00BF082E"/>
    <w:rsid w:val="00BF0F63"/>
    <w:rsid w:val="00BF265D"/>
    <w:rsid w:val="00BF29AD"/>
    <w:rsid w:val="00BF2C38"/>
    <w:rsid w:val="00BF4926"/>
    <w:rsid w:val="00BF4B2B"/>
    <w:rsid w:val="00BF5ED7"/>
    <w:rsid w:val="00BF72DF"/>
    <w:rsid w:val="00C00F75"/>
    <w:rsid w:val="00C01955"/>
    <w:rsid w:val="00C02346"/>
    <w:rsid w:val="00C02CE3"/>
    <w:rsid w:val="00C03DE1"/>
    <w:rsid w:val="00C06B17"/>
    <w:rsid w:val="00C06C3B"/>
    <w:rsid w:val="00C1034E"/>
    <w:rsid w:val="00C11870"/>
    <w:rsid w:val="00C13714"/>
    <w:rsid w:val="00C1783A"/>
    <w:rsid w:val="00C179A0"/>
    <w:rsid w:val="00C17AD0"/>
    <w:rsid w:val="00C20D63"/>
    <w:rsid w:val="00C21A23"/>
    <w:rsid w:val="00C2215B"/>
    <w:rsid w:val="00C2448A"/>
    <w:rsid w:val="00C24FE3"/>
    <w:rsid w:val="00C260FC"/>
    <w:rsid w:val="00C27804"/>
    <w:rsid w:val="00C309B1"/>
    <w:rsid w:val="00C30DDE"/>
    <w:rsid w:val="00C31EC4"/>
    <w:rsid w:val="00C3203A"/>
    <w:rsid w:val="00C32151"/>
    <w:rsid w:val="00C328CF"/>
    <w:rsid w:val="00C32E92"/>
    <w:rsid w:val="00C32F60"/>
    <w:rsid w:val="00C34C08"/>
    <w:rsid w:val="00C35500"/>
    <w:rsid w:val="00C365F6"/>
    <w:rsid w:val="00C36766"/>
    <w:rsid w:val="00C36CCA"/>
    <w:rsid w:val="00C37487"/>
    <w:rsid w:val="00C4113B"/>
    <w:rsid w:val="00C418CA"/>
    <w:rsid w:val="00C41FD4"/>
    <w:rsid w:val="00C43220"/>
    <w:rsid w:val="00C43F31"/>
    <w:rsid w:val="00C44E63"/>
    <w:rsid w:val="00C450E4"/>
    <w:rsid w:val="00C455C8"/>
    <w:rsid w:val="00C456B0"/>
    <w:rsid w:val="00C456EF"/>
    <w:rsid w:val="00C45B31"/>
    <w:rsid w:val="00C47083"/>
    <w:rsid w:val="00C47A12"/>
    <w:rsid w:val="00C47FE9"/>
    <w:rsid w:val="00C5005B"/>
    <w:rsid w:val="00C51700"/>
    <w:rsid w:val="00C522CF"/>
    <w:rsid w:val="00C52E01"/>
    <w:rsid w:val="00C53766"/>
    <w:rsid w:val="00C539AD"/>
    <w:rsid w:val="00C540D7"/>
    <w:rsid w:val="00C54DC7"/>
    <w:rsid w:val="00C55C87"/>
    <w:rsid w:val="00C55D54"/>
    <w:rsid w:val="00C575FB"/>
    <w:rsid w:val="00C6170F"/>
    <w:rsid w:val="00C61FD6"/>
    <w:rsid w:val="00C63734"/>
    <w:rsid w:val="00C64691"/>
    <w:rsid w:val="00C64AEF"/>
    <w:rsid w:val="00C65085"/>
    <w:rsid w:val="00C650B8"/>
    <w:rsid w:val="00C662ED"/>
    <w:rsid w:val="00C663E0"/>
    <w:rsid w:val="00C66815"/>
    <w:rsid w:val="00C702E0"/>
    <w:rsid w:val="00C70352"/>
    <w:rsid w:val="00C712A6"/>
    <w:rsid w:val="00C714C5"/>
    <w:rsid w:val="00C71F43"/>
    <w:rsid w:val="00C72797"/>
    <w:rsid w:val="00C72A17"/>
    <w:rsid w:val="00C72C79"/>
    <w:rsid w:val="00C72FD5"/>
    <w:rsid w:val="00C74476"/>
    <w:rsid w:val="00C753A3"/>
    <w:rsid w:val="00C75815"/>
    <w:rsid w:val="00C75C0C"/>
    <w:rsid w:val="00C76EE7"/>
    <w:rsid w:val="00C80C5B"/>
    <w:rsid w:val="00C85B6B"/>
    <w:rsid w:val="00C867D7"/>
    <w:rsid w:val="00C86DC4"/>
    <w:rsid w:val="00C86E9D"/>
    <w:rsid w:val="00C90EDD"/>
    <w:rsid w:val="00C90FA3"/>
    <w:rsid w:val="00C92D0A"/>
    <w:rsid w:val="00CA068D"/>
    <w:rsid w:val="00CA3C45"/>
    <w:rsid w:val="00CA4A77"/>
    <w:rsid w:val="00CA5FAD"/>
    <w:rsid w:val="00CA74E9"/>
    <w:rsid w:val="00CA7D5D"/>
    <w:rsid w:val="00CA7F5A"/>
    <w:rsid w:val="00CB07D4"/>
    <w:rsid w:val="00CB0A2F"/>
    <w:rsid w:val="00CB0DD8"/>
    <w:rsid w:val="00CB17E7"/>
    <w:rsid w:val="00CB1845"/>
    <w:rsid w:val="00CB1A75"/>
    <w:rsid w:val="00CB1B50"/>
    <w:rsid w:val="00CB1B52"/>
    <w:rsid w:val="00CB2316"/>
    <w:rsid w:val="00CB426B"/>
    <w:rsid w:val="00CB49FE"/>
    <w:rsid w:val="00CB53AE"/>
    <w:rsid w:val="00CB5FD7"/>
    <w:rsid w:val="00CB6C49"/>
    <w:rsid w:val="00CB6D1D"/>
    <w:rsid w:val="00CB6F5D"/>
    <w:rsid w:val="00CC11A4"/>
    <w:rsid w:val="00CC22D4"/>
    <w:rsid w:val="00CC2CD8"/>
    <w:rsid w:val="00CC441C"/>
    <w:rsid w:val="00CC5020"/>
    <w:rsid w:val="00CC515D"/>
    <w:rsid w:val="00CC52B0"/>
    <w:rsid w:val="00CC5330"/>
    <w:rsid w:val="00CC5A0B"/>
    <w:rsid w:val="00CC720C"/>
    <w:rsid w:val="00CC7CB3"/>
    <w:rsid w:val="00CD03B5"/>
    <w:rsid w:val="00CD1DE0"/>
    <w:rsid w:val="00CD1DF7"/>
    <w:rsid w:val="00CD3ACF"/>
    <w:rsid w:val="00CD4E91"/>
    <w:rsid w:val="00CD5412"/>
    <w:rsid w:val="00CD7090"/>
    <w:rsid w:val="00CD7BF9"/>
    <w:rsid w:val="00CE0D9D"/>
    <w:rsid w:val="00CE0DFD"/>
    <w:rsid w:val="00CE4EEC"/>
    <w:rsid w:val="00CE6DFA"/>
    <w:rsid w:val="00CE7376"/>
    <w:rsid w:val="00CE7BF0"/>
    <w:rsid w:val="00CF2408"/>
    <w:rsid w:val="00CF332C"/>
    <w:rsid w:val="00CF3A92"/>
    <w:rsid w:val="00CF3D1D"/>
    <w:rsid w:val="00CF59FC"/>
    <w:rsid w:val="00D006BF"/>
    <w:rsid w:val="00D00AF2"/>
    <w:rsid w:val="00D02AF4"/>
    <w:rsid w:val="00D02EDA"/>
    <w:rsid w:val="00D05301"/>
    <w:rsid w:val="00D05D87"/>
    <w:rsid w:val="00D0679E"/>
    <w:rsid w:val="00D069F6"/>
    <w:rsid w:val="00D06ACD"/>
    <w:rsid w:val="00D11ACE"/>
    <w:rsid w:val="00D12489"/>
    <w:rsid w:val="00D124AE"/>
    <w:rsid w:val="00D1271D"/>
    <w:rsid w:val="00D12EBE"/>
    <w:rsid w:val="00D150FC"/>
    <w:rsid w:val="00D1693E"/>
    <w:rsid w:val="00D173B7"/>
    <w:rsid w:val="00D174BB"/>
    <w:rsid w:val="00D17764"/>
    <w:rsid w:val="00D210A4"/>
    <w:rsid w:val="00D21895"/>
    <w:rsid w:val="00D22C08"/>
    <w:rsid w:val="00D22E52"/>
    <w:rsid w:val="00D23352"/>
    <w:rsid w:val="00D23CCB"/>
    <w:rsid w:val="00D24D6F"/>
    <w:rsid w:val="00D24DB6"/>
    <w:rsid w:val="00D25D7B"/>
    <w:rsid w:val="00D27B46"/>
    <w:rsid w:val="00D27FE7"/>
    <w:rsid w:val="00D30FA7"/>
    <w:rsid w:val="00D31CFA"/>
    <w:rsid w:val="00D33C01"/>
    <w:rsid w:val="00D40D15"/>
    <w:rsid w:val="00D41A26"/>
    <w:rsid w:val="00D4232F"/>
    <w:rsid w:val="00D42903"/>
    <w:rsid w:val="00D44DB3"/>
    <w:rsid w:val="00D45195"/>
    <w:rsid w:val="00D45B2F"/>
    <w:rsid w:val="00D46122"/>
    <w:rsid w:val="00D4631A"/>
    <w:rsid w:val="00D50858"/>
    <w:rsid w:val="00D51165"/>
    <w:rsid w:val="00D516CB"/>
    <w:rsid w:val="00D519B3"/>
    <w:rsid w:val="00D5216F"/>
    <w:rsid w:val="00D53B32"/>
    <w:rsid w:val="00D53D39"/>
    <w:rsid w:val="00D53D51"/>
    <w:rsid w:val="00D54301"/>
    <w:rsid w:val="00D548A3"/>
    <w:rsid w:val="00D5532A"/>
    <w:rsid w:val="00D56DF9"/>
    <w:rsid w:val="00D5735F"/>
    <w:rsid w:val="00D6070D"/>
    <w:rsid w:val="00D61742"/>
    <w:rsid w:val="00D639A9"/>
    <w:rsid w:val="00D63CB5"/>
    <w:rsid w:val="00D63CE4"/>
    <w:rsid w:val="00D64296"/>
    <w:rsid w:val="00D64BA2"/>
    <w:rsid w:val="00D6513F"/>
    <w:rsid w:val="00D66777"/>
    <w:rsid w:val="00D66B87"/>
    <w:rsid w:val="00D6720A"/>
    <w:rsid w:val="00D70AD5"/>
    <w:rsid w:val="00D73519"/>
    <w:rsid w:val="00D735E2"/>
    <w:rsid w:val="00D73A18"/>
    <w:rsid w:val="00D74325"/>
    <w:rsid w:val="00D7434C"/>
    <w:rsid w:val="00D75913"/>
    <w:rsid w:val="00D75EDA"/>
    <w:rsid w:val="00D76293"/>
    <w:rsid w:val="00D7638D"/>
    <w:rsid w:val="00D76DF1"/>
    <w:rsid w:val="00D80224"/>
    <w:rsid w:val="00D80400"/>
    <w:rsid w:val="00D80B55"/>
    <w:rsid w:val="00D8114F"/>
    <w:rsid w:val="00D83B6B"/>
    <w:rsid w:val="00D85F3E"/>
    <w:rsid w:val="00D87162"/>
    <w:rsid w:val="00D871DF"/>
    <w:rsid w:val="00D90CC6"/>
    <w:rsid w:val="00D9134E"/>
    <w:rsid w:val="00D9267C"/>
    <w:rsid w:val="00D92E59"/>
    <w:rsid w:val="00D93300"/>
    <w:rsid w:val="00D949A4"/>
    <w:rsid w:val="00D952E7"/>
    <w:rsid w:val="00D979F8"/>
    <w:rsid w:val="00DA1337"/>
    <w:rsid w:val="00DA324A"/>
    <w:rsid w:val="00DA3B0C"/>
    <w:rsid w:val="00DA4A47"/>
    <w:rsid w:val="00DA57AC"/>
    <w:rsid w:val="00DA65E6"/>
    <w:rsid w:val="00DA700A"/>
    <w:rsid w:val="00DA7FC7"/>
    <w:rsid w:val="00DB0F14"/>
    <w:rsid w:val="00DB1E81"/>
    <w:rsid w:val="00DB3799"/>
    <w:rsid w:val="00DB3948"/>
    <w:rsid w:val="00DB401E"/>
    <w:rsid w:val="00DB591D"/>
    <w:rsid w:val="00DB7231"/>
    <w:rsid w:val="00DB7891"/>
    <w:rsid w:val="00DC00C4"/>
    <w:rsid w:val="00DC1363"/>
    <w:rsid w:val="00DC1BEC"/>
    <w:rsid w:val="00DC4368"/>
    <w:rsid w:val="00DC57FF"/>
    <w:rsid w:val="00DC632B"/>
    <w:rsid w:val="00DC689C"/>
    <w:rsid w:val="00DC7F8D"/>
    <w:rsid w:val="00DD133E"/>
    <w:rsid w:val="00DD189C"/>
    <w:rsid w:val="00DD1BA1"/>
    <w:rsid w:val="00DD1F82"/>
    <w:rsid w:val="00DD24BC"/>
    <w:rsid w:val="00DD2BCD"/>
    <w:rsid w:val="00DD2E51"/>
    <w:rsid w:val="00DD5732"/>
    <w:rsid w:val="00DD5AAB"/>
    <w:rsid w:val="00DD625C"/>
    <w:rsid w:val="00DD6695"/>
    <w:rsid w:val="00DE0B26"/>
    <w:rsid w:val="00DE28FC"/>
    <w:rsid w:val="00DE31B2"/>
    <w:rsid w:val="00DE41D6"/>
    <w:rsid w:val="00DE423D"/>
    <w:rsid w:val="00DE6667"/>
    <w:rsid w:val="00DE6812"/>
    <w:rsid w:val="00DE7F5E"/>
    <w:rsid w:val="00DF1800"/>
    <w:rsid w:val="00DF2B9B"/>
    <w:rsid w:val="00DF562E"/>
    <w:rsid w:val="00DF6BEB"/>
    <w:rsid w:val="00E00131"/>
    <w:rsid w:val="00E006EA"/>
    <w:rsid w:val="00E016AB"/>
    <w:rsid w:val="00E01F97"/>
    <w:rsid w:val="00E07B27"/>
    <w:rsid w:val="00E10387"/>
    <w:rsid w:val="00E1193D"/>
    <w:rsid w:val="00E11EFB"/>
    <w:rsid w:val="00E12794"/>
    <w:rsid w:val="00E12970"/>
    <w:rsid w:val="00E142BD"/>
    <w:rsid w:val="00E14A51"/>
    <w:rsid w:val="00E14DCF"/>
    <w:rsid w:val="00E15849"/>
    <w:rsid w:val="00E1717D"/>
    <w:rsid w:val="00E178D9"/>
    <w:rsid w:val="00E17F5D"/>
    <w:rsid w:val="00E206F3"/>
    <w:rsid w:val="00E217C0"/>
    <w:rsid w:val="00E234CA"/>
    <w:rsid w:val="00E235F5"/>
    <w:rsid w:val="00E2410E"/>
    <w:rsid w:val="00E2483D"/>
    <w:rsid w:val="00E26191"/>
    <w:rsid w:val="00E2681D"/>
    <w:rsid w:val="00E27466"/>
    <w:rsid w:val="00E27C0E"/>
    <w:rsid w:val="00E30297"/>
    <w:rsid w:val="00E3066C"/>
    <w:rsid w:val="00E3155F"/>
    <w:rsid w:val="00E318C4"/>
    <w:rsid w:val="00E31A98"/>
    <w:rsid w:val="00E32BE3"/>
    <w:rsid w:val="00E350CD"/>
    <w:rsid w:val="00E35847"/>
    <w:rsid w:val="00E37353"/>
    <w:rsid w:val="00E37501"/>
    <w:rsid w:val="00E37BCF"/>
    <w:rsid w:val="00E37F3F"/>
    <w:rsid w:val="00E40826"/>
    <w:rsid w:val="00E41075"/>
    <w:rsid w:val="00E41872"/>
    <w:rsid w:val="00E418F0"/>
    <w:rsid w:val="00E42151"/>
    <w:rsid w:val="00E42EDC"/>
    <w:rsid w:val="00E438E3"/>
    <w:rsid w:val="00E4395C"/>
    <w:rsid w:val="00E43CFA"/>
    <w:rsid w:val="00E4492B"/>
    <w:rsid w:val="00E45F94"/>
    <w:rsid w:val="00E46633"/>
    <w:rsid w:val="00E46ED1"/>
    <w:rsid w:val="00E50EE3"/>
    <w:rsid w:val="00E50FE2"/>
    <w:rsid w:val="00E514FA"/>
    <w:rsid w:val="00E543E4"/>
    <w:rsid w:val="00E5452C"/>
    <w:rsid w:val="00E55136"/>
    <w:rsid w:val="00E56455"/>
    <w:rsid w:val="00E57CA0"/>
    <w:rsid w:val="00E61091"/>
    <w:rsid w:val="00E618E1"/>
    <w:rsid w:val="00E61996"/>
    <w:rsid w:val="00E61B2F"/>
    <w:rsid w:val="00E62118"/>
    <w:rsid w:val="00E628F8"/>
    <w:rsid w:val="00E636A9"/>
    <w:rsid w:val="00E647C7"/>
    <w:rsid w:val="00E64927"/>
    <w:rsid w:val="00E65616"/>
    <w:rsid w:val="00E660F6"/>
    <w:rsid w:val="00E71CD2"/>
    <w:rsid w:val="00E72495"/>
    <w:rsid w:val="00E7332E"/>
    <w:rsid w:val="00E73501"/>
    <w:rsid w:val="00E736B6"/>
    <w:rsid w:val="00E7387B"/>
    <w:rsid w:val="00E73BC1"/>
    <w:rsid w:val="00E749AD"/>
    <w:rsid w:val="00E74CF3"/>
    <w:rsid w:val="00E75668"/>
    <w:rsid w:val="00E75F20"/>
    <w:rsid w:val="00E75F48"/>
    <w:rsid w:val="00E76697"/>
    <w:rsid w:val="00E76A11"/>
    <w:rsid w:val="00E77216"/>
    <w:rsid w:val="00E77F4E"/>
    <w:rsid w:val="00E80563"/>
    <w:rsid w:val="00E80E5D"/>
    <w:rsid w:val="00E819DE"/>
    <w:rsid w:val="00E81D09"/>
    <w:rsid w:val="00E82303"/>
    <w:rsid w:val="00E905E0"/>
    <w:rsid w:val="00E9193C"/>
    <w:rsid w:val="00E91B77"/>
    <w:rsid w:val="00E92336"/>
    <w:rsid w:val="00E941E5"/>
    <w:rsid w:val="00E95AFD"/>
    <w:rsid w:val="00E96B4F"/>
    <w:rsid w:val="00EA075E"/>
    <w:rsid w:val="00EA15C9"/>
    <w:rsid w:val="00EA1BE3"/>
    <w:rsid w:val="00EA2F86"/>
    <w:rsid w:val="00EA4163"/>
    <w:rsid w:val="00EA4D66"/>
    <w:rsid w:val="00EA506D"/>
    <w:rsid w:val="00EA5C5E"/>
    <w:rsid w:val="00EA6D77"/>
    <w:rsid w:val="00EA7D56"/>
    <w:rsid w:val="00EB1F47"/>
    <w:rsid w:val="00EB5828"/>
    <w:rsid w:val="00EB5D68"/>
    <w:rsid w:val="00EB5D93"/>
    <w:rsid w:val="00EB5E4F"/>
    <w:rsid w:val="00EB6BF5"/>
    <w:rsid w:val="00EB726C"/>
    <w:rsid w:val="00EC2DDA"/>
    <w:rsid w:val="00EC4A80"/>
    <w:rsid w:val="00EC6BFB"/>
    <w:rsid w:val="00EC7BAF"/>
    <w:rsid w:val="00EC7F8F"/>
    <w:rsid w:val="00ED3B60"/>
    <w:rsid w:val="00ED3CCB"/>
    <w:rsid w:val="00ED40C1"/>
    <w:rsid w:val="00ED574C"/>
    <w:rsid w:val="00ED5A0C"/>
    <w:rsid w:val="00ED5ECC"/>
    <w:rsid w:val="00EE0032"/>
    <w:rsid w:val="00EE0ED2"/>
    <w:rsid w:val="00EE147F"/>
    <w:rsid w:val="00EE2BFF"/>
    <w:rsid w:val="00EE38F7"/>
    <w:rsid w:val="00EE410D"/>
    <w:rsid w:val="00EE461D"/>
    <w:rsid w:val="00EE516D"/>
    <w:rsid w:val="00EE58D0"/>
    <w:rsid w:val="00EE5C67"/>
    <w:rsid w:val="00EE61F4"/>
    <w:rsid w:val="00EE7290"/>
    <w:rsid w:val="00EF06B2"/>
    <w:rsid w:val="00EF0820"/>
    <w:rsid w:val="00EF0A32"/>
    <w:rsid w:val="00EF68B4"/>
    <w:rsid w:val="00EF6E58"/>
    <w:rsid w:val="00EF7086"/>
    <w:rsid w:val="00EF72BB"/>
    <w:rsid w:val="00EF7AF2"/>
    <w:rsid w:val="00F004E8"/>
    <w:rsid w:val="00F01DF5"/>
    <w:rsid w:val="00F05477"/>
    <w:rsid w:val="00F0547C"/>
    <w:rsid w:val="00F07259"/>
    <w:rsid w:val="00F105C5"/>
    <w:rsid w:val="00F1135D"/>
    <w:rsid w:val="00F143A0"/>
    <w:rsid w:val="00F14AFB"/>
    <w:rsid w:val="00F14F56"/>
    <w:rsid w:val="00F162A2"/>
    <w:rsid w:val="00F1714B"/>
    <w:rsid w:val="00F1744E"/>
    <w:rsid w:val="00F1784B"/>
    <w:rsid w:val="00F20491"/>
    <w:rsid w:val="00F207FF"/>
    <w:rsid w:val="00F20C0E"/>
    <w:rsid w:val="00F23A25"/>
    <w:rsid w:val="00F2477F"/>
    <w:rsid w:val="00F25946"/>
    <w:rsid w:val="00F266A7"/>
    <w:rsid w:val="00F27056"/>
    <w:rsid w:val="00F271FB"/>
    <w:rsid w:val="00F3013C"/>
    <w:rsid w:val="00F304F9"/>
    <w:rsid w:val="00F3199B"/>
    <w:rsid w:val="00F328B9"/>
    <w:rsid w:val="00F329D9"/>
    <w:rsid w:val="00F32A9D"/>
    <w:rsid w:val="00F3301D"/>
    <w:rsid w:val="00F34873"/>
    <w:rsid w:val="00F4073E"/>
    <w:rsid w:val="00F40BB9"/>
    <w:rsid w:val="00F41CD1"/>
    <w:rsid w:val="00F42EF4"/>
    <w:rsid w:val="00F444E6"/>
    <w:rsid w:val="00F45417"/>
    <w:rsid w:val="00F455B9"/>
    <w:rsid w:val="00F46460"/>
    <w:rsid w:val="00F47B37"/>
    <w:rsid w:val="00F51317"/>
    <w:rsid w:val="00F51DDE"/>
    <w:rsid w:val="00F54AFD"/>
    <w:rsid w:val="00F555D0"/>
    <w:rsid w:val="00F57066"/>
    <w:rsid w:val="00F61245"/>
    <w:rsid w:val="00F6186F"/>
    <w:rsid w:val="00F61CCF"/>
    <w:rsid w:val="00F6398D"/>
    <w:rsid w:val="00F63CD5"/>
    <w:rsid w:val="00F655A7"/>
    <w:rsid w:val="00F715F1"/>
    <w:rsid w:val="00F71C88"/>
    <w:rsid w:val="00F72EA4"/>
    <w:rsid w:val="00F74A0D"/>
    <w:rsid w:val="00F74C92"/>
    <w:rsid w:val="00F758A8"/>
    <w:rsid w:val="00F77D86"/>
    <w:rsid w:val="00F8029E"/>
    <w:rsid w:val="00F809F6"/>
    <w:rsid w:val="00F81049"/>
    <w:rsid w:val="00F82BE6"/>
    <w:rsid w:val="00F83178"/>
    <w:rsid w:val="00F84D5B"/>
    <w:rsid w:val="00F8508E"/>
    <w:rsid w:val="00F875CA"/>
    <w:rsid w:val="00F90B5C"/>
    <w:rsid w:val="00F91FD1"/>
    <w:rsid w:val="00F9295A"/>
    <w:rsid w:val="00F92CD3"/>
    <w:rsid w:val="00F93579"/>
    <w:rsid w:val="00F96489"/>
    <w:rsid w:val="00F9648A"/>
    <w:rsid w:val="00F969CD"/>
    <w:rsid w:val="00F96E5A"/>
    <w:rsid w:val="00F974E5"/>
    <w:rsid w:val="00FA25BC"/>
    <w:rsid w:val="00FA2631"/>
    <w:rsid w:val="00FA267C"/>
    <w:rsid w:val="00FA2708"/>
    <w:rsid w:val="00FA2D94"/>
    <w:rsid w:val="00FA317D"/>
    <w:rsid w:val="00FA34E8"/>
    <w:rsid w:val="00FA378F"/>
    <w:rsid w:val="00FA4B2C"/>
    <w:rsid w:val="00FA69B8"/>
    <w:rsid w:val="00FA75EE"/>
    <w:rsid w:val="00FB03E9"/>
    <w:rsid w:val="00FB0773"/>
    <w:rsid w:val="00FB07A3"/>
    <w:rsid w:val="00FB2411"/>
    <w:rsid w:val="00FB2742"/>
    <w:rsid w:val="00FB31D7"/>
    <w:rsid w:val="00FB74C4"/>
    <w:rsid w:val="00FB753E"/>
    <w:rsid w:val="00FC02CC"/>
    <w:rsid w:val="00FC190B"/>
    <w:rsid w:val="00FC2C37"/>
    <w:rsid w:val="00FC3B5B"/>
    <w:rsid w:val="00FC4C87"/>
    <w:rsid w:val="00FC4D0E"/>
    <w:rsid w:val="00FC4F1B"/>
    <w:rsid w:val="00FC52FE"/>
    <w:rsid w:val="00FC6287"/>
    <w:rsid w:val="00FC68AF"/>
    <w:rsid w:val="00FC7930"/>
    <w:rsid w:val="00FD0E68"/>
    <w:rsid w:val="00FD125E"/>
    <w:rsid w:val="00FD16DE"/>
    <w:rsid w:val="00FD1CBE"/>
    <w:rsid w:val="00FD273C"/>
    <w:rsid w:val="00FD2CEA"/>
    <w:rsid w:val="00FD3AE4"/>
    <w:rsid w:val="00FD3BAF"/>
    <w:rsid w:val="00FD44CD"/>
    <w:rsid w:val="00FD5E53"/>
    <w:rsid w:val="00FD7B09"/>
    <w:rsid w:val="00FE0ED9"/>
    <w:rsid w:val="00FE1948"/>
    <w:rsid w:val="00FE2E33"/>
    <w:rsid w:val="00FE3B68"/>
    <w:rsid w:val="00FE48B6"/>
    <w:rsid w:val="00FE4A90"/>
    <w:rsid w:val="00FE5BF2"/>
    <w:rsid w:val="00FE6411"/>
    <w:rsid w:val="00FF255F"/>
    <w:rsid w:val="00FF2756"/>
    <w:rsid w:val="00FF37C1"/>
    <w:rsid w:val="00FF60AD"/>
    <w:rsid w:val="00FF61A9"/>
    <w:rsid w:val="00FF6F08"/>
    <w:rsid w:val="00FF7C0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B6CA1B6"/>
  <w15:docId w15:val="{6B8A4DBD-E1AE-44BA-B913-0E73877A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74E5"/>
    <w:pPr>
      <w:spacing w:after="120"/>
      <w:jc w:val="both"/>
    </w:pPr>
    <w:rPr>
      <w:sz w:val="24"/>
    </w:rPr>
  </w:style>
  <w:style w:type="paragraph" w:styleId="Nadpis1">
    <w:name w:val="heading 1"/>
    <w:basedOn w:val="Normln"/>
    <w:next w:val="Nadpis2"/>
    <w:link w:val="Nadpis1Char"/>
    <w:qFormat/>
    <w:rsid w:val="003F6A8B"/>
    <w:pPr>
      <w:keepNext/>
      <w:numPr>
        <w:numId w:val="4"/>
      </w:numPr>
      <w:spacing w:before="240" w:after="360"/>
      <w:ind w:left="431" w:hanging="431"/>
      <w:jc w:val="left"/>
      <w:outlineLvl w:val="0"/>
    </w:pPr>
    <w:rPr>
      <w:rFonts w:eastAsia="Calibri"/>
      <w:b/>
      <w:bCs/>
      <w:sz w:val="32"/>
      <w:szCs w:val="40"/>
    </w:rPr>
  </w:style>
  <w:style w:type="paragraph" w:styleId="Nadpis2">
    <w:name w:val="heading 2"/>
    <w:basedOn w:val="Normln"/>
    <w:next w:val="Nadpis3"/>
    <w:link w:val="Nadpis2Char"/>
    <w:qFormat/>
    <w:rsid w:val="00D45B2F"/>
    <w:pPr>
      <w:keepNext/>
      <w:numPr>
        <w:ilvl w:val="1"/>
        <w:numId w:val="4"/>
      </w:numPr>
      <w:spacing w:before="360" w:after="240"/>
      <w:ind w:left="578" w:hanging="578"/>
      <w:jc w:val="left"/>
      <w:outlineLvl w:val="1"/>
    </w:pPr>
    <w:rPr>
      <w:b/>
      <w:bCs/>
      <w:sz w:val="28"/>
      <w:szCs w:val="24"/>
    </w:rPr>
  </w:style>
  <w:style w:type="paragraph" w:styleId="Nadpis3">
    <w:name w:val="heading 3"/>
    <w:basedOn w:val="Normln"/>
    <w:next w:val="Nadpis4"/>
    <w:link w:val="Nadpis3Char"/>
    <w:qFormat/>
    <w:rsid w:val="002D42D6"/>
    <w:pPr>
      <w:keepNext/>
      <w:numPr>
        <w:ilvl w:val="2"/>
        <w:numId w:val="4"/>
      </w:numPr>
      <w:tabs>
        <w:tab w:val="left" w:pos="1304"/>
        <w:tab w:val="left" w:pos="1361"/>
      </w:tabs>
      <w:spacing w:before="360" w:after="20"/>
      <w:jc w:val="left"/>
      <w:outlineLvl w:val="2"/>
    </w:pPr>
    <w:rPr>
      <w:rFonts w:cs="Arial"/>
      <w:b/>
      <w:bCs/>
      <w:sz w:val="28"/>
      <w:szCs w:val="26"/>
      <w:shd w:val="clear" w:color="auto" w:fill="FFFFFF"/>
    </w:rPr>
  </w:style>
  <w:style w:type="paragraph" w:styleId="Nadpis4">
    <w:name w:val="heading 4"/>
    <w:basedOn w:val="Normln"/>
    <w:next w:val="Nadpis5"/>
    <w:link w:val="Nadpis4Char"/>
    <w:qFormat/>
    <w:rsid w:val="005B4629"/>
    <w:pPr>
      <w:keepNext/>
      <w:numPr>
        <w:ilvl w:val="3"/>
        <w:numId w:val="4"/>
      </w:numPr>
      <w:spacing w:before="360"/>
      <w:jc w:val="left"/>
      <w:outlineLvl w:val="3"/>
    </w:pPr>
    <w:rPr>
      <w:bCs/>
      <w:szCs w:val="28"/>
    </w:rPr>
  </w:style>
  <w:style w:type="paragraph" w:styleId="Nadpis5">
    <w:name w:val="heading 5"/>
    <w:basedOn w:val="Normln"/>
    <w:next w:val="Normln"/>
    <w:rsid w:val="005B4629"/>
    <w:pPr>
      <w:keepNext/>
      <w:numPr>
        <w:ilvl w:val="4"/>
        <w:numId w:val="4"/>
      </w:numPr>
      <w:spacing w:before="360"/>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F6A8B"/>
    <w:rPr>
      <w:rFonts w:eastAsia="Calibri"/>
      <w:b/>
      <w:bCs/>
      <w:sz w:val="32"/>
      <w:szCs w:val="40"/>
    </w:rPr>
  </w:style>
  <w:style w:type="character" w:customStyle="1" w:styleId="Nadpis2Char">
    <w:name w:val="Nadpis 2 Char"/>
    <w:basedOn w:val="Standardnpsmoodstavce"/>
    <w:link w:val="Nadpis2"/>
    <w:rsid w:val="00D45B2F"/>
    <w:rPr>
      <w:b/>
      <w:bCs/>
      <w:sz w:val="28"/>
      <w:szCs w:val="24"/>
    </w:rPr>
  </w:style>
  <w:style w:type="character" w:customStyle="1" w:styleId="Nadpis3Char">
    <w:name w:val="Nadpis 3 Char"/>
    <w:basedOn w:val="Standardnpsmoodstavce"/>
    <w:link w:val="Nadpis3"/>
    <w:rsid w:val="002D42D6"/>
    <w:rPr>
      <w:rFonts w:cs="Arial"/>
      <w:b/>
      <w:bCs/>
      <w:sz w:val="28"/>
      <w:szCs w:val="26"/>
    </w:rPr>
  </w:style>
  <w:style w:type="character" w:customStyle="1" w:styleId="Nadpis4Char">
    <w:name w:val="Nadpis 4 Char"/>
    <w:basedOn w:val="Standardnpsmoodstavce"/>
    <w:link w:val="Nadpis4"/>
    <w:rsid w:val="00262A6D"/>
    <w:rPr>
      <w:bCs/>
      <w:sz w:val="24"/>
      <w:szCs w:val="28"/>
    </w:rPr>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iPriority w:val="99"/>
    <w:unhideWhenUsed/>
    <w:rsid w:val="00990CF5"/>
    <w:pPr>
      <w:tabs>
        <w:tab w:val="center" w:pos="4536"/>
        <w:tab w:val="right" w:pos="9072"/>
      </w:tabs>
      <w:spacing w:after="0"/>
    </w:pPr>
  </w:style>
  <w:style w:type="character" w:customStyle="1" w:styleId="ZhlavChar">
    <w:name w:val="Záhlaví Char"/>
    <w:basedOn w:val="Standardnpsmoodstavce"/>
    <w:link w:val="Zhlav"/>
    <w:uiPriority w:val="99"/>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CD7090"/>
    <w:pPr>
      <w:spacing w:after="0"/>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BE203C"/>
    <w:pPr>
      <w:spacing w:before="360" w:after="120"/>
      <w:jc w:val="left"/>
    </w:pPr>
    <w:rPr>
      <w:sz w:val="20"/>
    </w:r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BE203C"/>
    <w:pPr>
      <w:spacing w:before="120" w:after="240"/>
      <w:jc w:val="left"/>
    </w:pPr>
    <w:rPr>
      <w:bCs/>
      <w:sz w:val="20"/>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nadpis">
    <w:name w:val="ABSTRACT - nadpis"/>
    <w:basedOn w:val="Normln"/>
    <w:rsid w:val="00831212"/>
    <w:pPr>
      <w:tabs>
        <w:tab w:val="num" w:pos="0"/>
      </w:tabs>
      <w:spacing w:before="240"/>
      <w:jc w:val="left"/>
    </w:pPr>
    <w:rPr>
      <w:b/>
      <w:szCs w:val="24"/>
    </w:rPr>
  </w:style>
  <w:style w:type="paragraph" w:customStyle="1" w:styleId="Abstract-text">
    <w:name w:val="Abstract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after="0" w:line="276" w:lineRule="auto"/>
      <w:outlineLvl w:val="9"/>
    </w:pPr>
    <w:rPr>
      <w:szCs w:val="28"/>
      <w:lang w:eastAsia="en-US"/>
    </w:rPr>
  </w:style>
  <w:style w:type="paragraph" w:styleId="Obsah2">
    <w:name w:val="toc 2"/>
    <w:basedOn w:val="Normln"/>
    <w:next w:val="Normln"/>
    <w:autoRedefine/>
    <w:uiPriority w:val="39"/>
    <w:unhideWhenUsed/>
    <w:qFormat/>
    <w:rsid w:val="005870D7"/>
    <w:pPr>
      <w:tabs>
        <w:tab w:val="left" w:pos="426"/>
        <w:tab w:val="right" w:leader="dot" w:pos="8505"/>
      </w:tabs>
      <w:spacing w:after="100" w:line="276" w:lineRule="auto"/>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132C3E"/>
    <w:pPr>
      <w:tabs>
        <w:tab w:val="left" w:pos="284"/>
        <w:tab w:val="right" w:leader="dot" w:pos="8505"/>
      </w:tabs>
      <w:spacing w:after="100" w:line="276" w:lineRule="auto"/>
      <w:jc w:val="left"/>
    </w:pPr>
    <w:rPr>
      <w:b/>
      <w:noProof/>
      <w:szCs w:val="22"/>
      <w:lang w:eastAsia="en-US"/>
    </w:rPr>
  </w:style>
  <w:style w:type="paragraph" w:styleId="Obsah3">
    <w:name w:val="toc 3"/>
    <w:basedOn w:val="Normln"/>
    <w:next w:val="Normln"/>
    <w:autoRedefine/>
    <w:uiPriority w:val="39"/>
    <w:unhideWhenUsed/>
    <w:qFormat/>
    <w:rsid w:val="00384CB8"/>
    <w:pPr>
      <w:tabs>
        <w:tab w:val="left" w:pos="709"/>
        <w:tab w:val="right" w:leader="dot" w:pos="8505"/>
      </w:tabs>
      <w:spacing w:after="100" w:line="276" w:lineRule="auto"/>
      <w:ind w:left="1389" w:hanging="1389"/>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unhideWhenUsed/>
    <w:rsid w:val="0014355A"/>
    <w:pPr>
      <w:spacing w:before="100" w:beforeAutospacing="1" w:after="100" w:afterAutospacing="1"/>
      <w:jc w:val="left"/>
    </w:pPr>
    <w:rPr>
      <w:szCs w:val="24"/>
    </w:rPr>
  </w:style>
  <w:style w:type="paragraph" w:customStyle="1" w:styleId="Literatura-text">
    <w:name w:val="Literatura-text"/>
    <w:basedOn w:val="Normln"/>
    <w:rsid w:val="00CE0DFD"/>
    <w:rPr>
      <w:sz w:val="22"/>
      <w:szCs w:val="22"/>
    </w:rPr>
  </w:style>
  <w:style w:type="paragraph" w:styleId="Nzev">
    <w:name w:val="Title"/>
    <w:basedOn w:val="Normln"/>
    <w:link w:val="NzevChar"/>
    <w:rsid w:val="007A464C"/>
    <w:pPr>
      <w:spacing w:after="0"/>
      <w:jc w:val="center"/>
    </w:pPr>
    <w:rPr>
      <w:b/>
      <w:sz w:val="72"/>
    </w:rPr>
  </w:style>
  <w:style w:type="character" w:customStyle="1" w:styleId="NzevChar">
    <w:name w:val="Název Char"/>
    <w:basedOn w:val="Standardnpsmoodstavce"/>
    <w:link w:val="Nzev"/>
    <w:rsid w:val="007A464C"/>
    <w:rPr>
      <w:b/>
      <w:sz w:val="72"/>
    </w:rPr>
  </w:style>
  <w:style w:type="paragraph" w:customStyle="1" w:styleId="Titulek-SEMINRNPRCE">
    <w:name w:val="Titulek - SEMINÁRNÍ PRÁCE"/>
    <w:basedOn w:val="Nzev"/>
    <w:link w:val="Titulek-SEMINRNPRCEChar"/>
    <w:rsid w:val="007A464C"/>
    <w:rPr>
      <w:rFonts w:ascii="Verdana" w:hAnsi="Verdana"/>
      <w:sz w:val="56"/>
      <w:szCs w:val="56"/>
    </w:rPr>
  </w:style>
  <w:style w:type="character" w:customStyle="1" w:styleId="Titulek-SEMINRNPRCEChar">
    <w:name w:val="Titulek - SEMINÁRNÍ PRÁCE Char"/>
    <w:basedOn w:val="NzevChar"/>
    <w:link w:val="Titulek-SEMINRNPRCE"/>
    <w:rsid w:val="007A464C"/>
    <w:rPr>
      <w:rFonts w:ascii="Verdana" w:hAnsi="Verdana"/>
      <w:b/>
      <w:sz w:val="56"/>
      <w:szCs w:val="56"/>
    </w:rPr>
  </w:style>
  <w:style w:type="paragraph" w:customStyle="1" w:styleId="Titulek-SPECIALIZACE">
    <w:name w:val="Titulek - SPECIALIZACE"/>
    <w:basedOn w:val="Normln"/>
    <w:link w:val="Titulek-SPECIALIZACEChar"/>
    <w:rsid w:val="007A464C"/>
    <w:pPr>
      <w:spacing w:after="0"/>
      <w:jc w:val="center"/>
    </w:pPr>
    <w:rPr>
      <w:rFonts w:ascii="Verdana" w:hAnsi="Verdana"/>
      <w:b/>
      <w:sz w:val="36"/>
      <w:szCs w:val="36"/>
    </w:rPr>
  </w:style>
  <w:style w:type="character" w:customStyle="1" w:styleId="Titulek-SPECIALIZACEChar">
    <w:name w:val="Titulek - SPECIALIZACE Char"/>
    <w:basedOn w:val="Standardnpsmoodstavce"/>
    <w:link w:val="Titulek-SPECIALIZACE"/>
    <w:rsid w:val="007A464C"/>
    <w:rPr>
      <w:rFonts w:ascii="Verdana" w:hAnsi="Verdana"/>
      <w:b/>
      <w:sz w:val="36"/>
      <w:szCs w:val="36"/>
    </w:rPr>
  </w:style>
  <w:style w:type="paragraph" w:customStyle="1" w:styleId="Titulnistrana-zhlavtabulky">
    <w:name w:val="Titulni strana - záhlaví tabulky"/>
    <w:next w:val="Normln"/>
    <w:rsid w:val="007A464C"/>
    <w:pPr>
      <w:ind w:left="357"/>
      <w:jc w:val="center"/>
    </w:pPr>
    <w:rPr>
      <w:rFonts w:ascii="Verdana" w:hAnsi="Verdana"/>
      <w:b/>
      <w:caps/>
      <w:szCs w:val="40"/>
    </w:rPr>
  </w:style>
  <w:style w:type="paragraph" w:customStyle="1" w:styleId="Titulnstrana-texttabulky">
    <w:name w:val="Titulní strana - text tabulky"/>
    <w:rsid w:val="005A39D1"/>
    <w:rPr>
      <w:rFonts w:ascii="Verdana" w:hAnsi="Verdana"/>
      <w:bCs/>
      <w:szCs w:val="40"/>
    </w:rPr>
  </w:style>
  <w:style w:type="character" w:customStyle="1" w:styleId="apple-style-span">
    <w:name w:val="apple-style-span"/>
    <w:basedOn w:val="Standardnpsmoodstavce"/>
    <w:rsid w:val="005C6262"/>
  </w:style>
  <w:style w:type="paragraph" w:customStyle="1" w:styleId="Poznmkapodarou">
    <w:name w:val="Poznámka pod čarou"/>
    <w:basedOn w:val="Normln"/>
    <w:qFormat/>
    <w:rsid w:val="003F5CAA"/>
    <w:pPr>
      <w:autoSpaceDE w:val="0"/>
      <w:autoSpaceDN w:val="0"/>
      <w:adjustRightInd w:val="0"/>
      <w:spacing w:after="0"/>
      <w:jc w:val="left"/>
    </w:pPr>
    <w:rPr>
      <w:sz w:val="16"/>
      <w:szCs w:val="16"/>
    </w:rPr>
  </w:style>
  <w:style w:type="character" w:customStyle="1" w:styleId="apple-converted-space">
    <w:name w:val="apple-converted-space"/>
    <w:basedOn w:val="Standardnpsmoodstavce"/>
    <w:rsid w:val="005C6262"/>
  </w:style>
  <w:style w:type="character" w:styleId="Zdraznn">
    <w:name w:val="Emphasis"/>
    <w:basedOn w:val="Standardnpsmoodstavce"/>
    <w:uiPriority w:val="20"/>
    <w:rsid w:val="005C6262"/>
    <w:rPr>
      <w:i/>
      <w:iCs/>
    </w:rPr>
  </w:style>
  <w:style w:type="character" w:styleId="Siln">
    <w:name w:val="Strong"/>
    <w:basedOn w:val="Standardnpsmoodstavce"/>
    <w:uiPriority w:val="22"/>
    <w:qFormat/>
    <w:rsid w:val="00590A91"/>
    <w:rPr>
      <w:b/>
      <w:bCs/>
    </w:rPr>
  </w:style>
  <w:style w:type="paragraph" w:customStyle="1" w:styleId="AbstractSummary-text">
    <w:name w:val="Abstract/Summary - text"/>
    <w:basedOn w:val="Normln"/>
    <w:rsid w:val="006D3517"/>
    <w:pPr>
      <w:spacing w:after="240" w:line="360" w:lineRule="auto"/>
    </w:pPr>
    <w:rPr>
      <w:szCs w:val="24"/>
      <w:lang w:val="en-US"/>
    </w:rPr>
  </w:style>
  <w:style w:type="paragraph" w:customStyle="1" w:styleId="cpNormal1">
    <w:name w:val="cp_Normal_1"/>
    <w:basedOn w:val="Normln"/>
    <w:rsid w:val="005B6DC1"/>
    <w:pPr>
      <w:spacing w:after="0" w:line="360" w:lineRule="auto"/>
    </w:pPr>
    <w:rPr>
      <w:rFonts w:ascii="Verdana" w:eastAsia="Calibri" w:hAnsi="Verdana"/>
      <w:sz w:val="20"/>
      <w:szCs w:val="22"/>
      <w:lang w:eastAsia="en-US"/>
    </w:rPr>
  </w:style>
  <w:style w:type="paragraph" w:styleId="Odstavecseseznamem">
    <w:name w:val="List Paragraph"/>
    <w:basedOn w:val="Normln"/>
    <w:link w:val="OdstavecseseznamemChar"/>
    <w:uiPriority w:val="34"/>
    <w:rsid w:val="00A552DD"/>
    <w:pPr>
      <w:spacing w:before="100" w:beforeAutospacing="1" w:after="100" w:afterAutospacing="1"/>
      <w:jc w:val="left"/>
    </w:pPr>
    <w:rPr>
      <w:szCs w:val="24"/>
    </w:rPr>
  </w:style>
  <w:style w:type="paragraph" w:customStyle="1" w:styleId="cpNormal2">
    <w:name w:val="cp_Normal_2"/>
    <w:basedOn w:val="cpNormal1"/>
    <w:rsid w:val="00D85F3E"/>
    <w:pPr>
      <w:ind w:firstLine="397"/>
    </w:pPr>
  </w:style>
  <w:style w:type="paragraph" w:customStyle="1" w:styleId="Default">
    <w:name w:val="Default"/>
    <w:rsid w:val="006356BF"/>
    <w:pPr>
      <w:autoSpaceDE w:val="0"/>
      <w:autoSpaceDN w:val="0"/>
      <w:adjustRightInd w:val="0"/>
      <w:spacing w:after="200" w:line="276" w:lineRule="auto"/>
    </w:pPr>
    <w:rPr>
      <w:color w:val="000000"/>
      <w:sz w:val="24"/>
      <w:szCs w:val="24"/>
      <w:lang w:val="en-US" w:eastAsia="en-US" w:bidi="en-US"/>
    </w:rPr>
  </w:style>
  <w:style w:type="paragraph" w:styleId="Titulek">
    <w:name w:val="caption"/>
    <w:basedOn w:val="Normln"/>
    <w:next w:val="Normln"/>
    <w:unhideWhenUsed/>
    <w:rsid w:val="005439B9"/>
    <w:rPr>
      <w:b/>
      <w:bCs/>
      <w:sz w:val="20"/>
    </w:rPr>
  </w:style>
  <w:style w:type="paragraph" w:customStyle="1" w:styleId="titulnadpis">
    <w:name w:val="titul_nadpis"/>
    <w:basedOn w:val="Normln"/>
    <w:rsid w:val="008E28E4"/>
    <w:pPr>
      <w:spacing w:before="100" w:beforeAutospacing="1" w:after="30" w:line="375" w:lineRule="atLeast"/>
      <w:jc w:val="left"/>
    </w:pPr>
    <w:rPr>
      <w:b/>
      <w:bCs/>
      <w:color w:val="990000"/>
      <w:sz w:val="38"/>
      <w:szCs w:val="38"/>
    </w:rPr>
  </w:style>
  <w:style w:type="paragraph" w:customStyle="1" w:styleId="titulautor">
    <w:name w:val="titul_autor"/>
    <w:basedOn w:val="Normln"/>
    <w:rsid w:val="008E28E4"/>
    <w:pPr>
      <w:spacing w:before="100" w:beforeAutospacing="1" w:after="75" w:line="255" w:lineRule="atLeast"/>
      <w:jc w:val="left"/>
    </w:pPr>
    <w:rPr>
      <w:b/>
      <w:bCs/>
      <w:color w:val="000000"/>
      <w:sz w:val="23"/>
      <w:szCs w:val="23"/>
    </w:rPr>
  </w:style>
  <w:style w:type="paragraph" w:customStyle="1" w:styleId="titulvydpozn">
    <w:name w:val="titul_vydpozn"/>
    <w:basedOn w:val="Normln"/>
    <w:rsid w:val="008E28E4"/>
    <w:pPr>
      <w:spacing w:before="100" w:beforeAutospacing="1" w:after="100" w:afterAutospacing="1"/>
      <w:jc w:val="left"/>
    </w:pPr>
    <w:rPr>
      <w:szCs w:val="24"/>
    </w:rPr>
  </w:style>
  <w:style w:type="paragraph" w:customStyle="1" w:styleId="Nadpsek">
    <w:name w:val="Nadpísek"/>
    <w:basedOn w:val="Normln"/>
    <w:rsid w:val="00666DA4"/>
    <w:pPr>
      <w:spacing w:after="60" w:line="360" w:lineRule="auto"/>
    </w:pPr>
    <w:rPr>
      <w:b/>
    </w:rPr>
  </w:style>
  <w:style w:type="paragraph" w:styleId="Seznamobrzk">
    <w:name w:val="table of figures"/>
    <w:basedOn w:val="Normln"/>
    <w:next w:val="Normln"/>
    <w:uiPriority w:val="99"/>
    <w:unhideWhenUsed/>
    <w:rsid w:val="00750F3C"/>
    <w:pPr>
      <w:spacing w:after="0"/>
    </w:pPr>
  </w:style>
  <w:style w:type="character" w:customStyle="1" w:styleId="OdstavecseseznamemChar">
    <w:name w:val="Odstavec se seznamem Char"/>
    <w:basedOn w:val="Standardnpsmoodstavce"/>
    <w:link w:val="Odstavecseseznamem"/>
    <w:uiPriority w:val="34"/>
    <w:rsid w:val="00A37998"/>
    <w:rPr>
      <w:sz w:val="24"/>
      <w:szCs w:val="24"/>
    </w:rPr>
  </w:style>
  <w:style w:type="character" w:styleId="Sledovanodkaz">
    <w:name w:val="FollowedHyperlink"/>
    <w:basedOn w:val="Standardnpsmoodstavce"/>
    <w:uiPriority w:val="99"/>
    <w:semiHidden/>
    <w:unhideWhenUsed/>
    <w:rsid w:val="00164A06"/>
    <w:rPr>
      <w:color w:val="800080" w:themeColor="followedHyperlink"/>
      <w:u w:val="single"/>
    </w:rPr>
  </w:style>
  <w:style w:type="character" w:styleId="Odkaznakoment">
    <w:name w:val="annotation reference"/>
    <w:basedOn w:val="Standardnpsmoodstavce"/>
    <w:uiPriority w:val="99"/>
    <w:semiHidden/>
    <w:unhideWhenUsed/>
    <w:rsid w:val="00217BD8"/>
    <w:rPr>
      <w:sz w:val="18"/>
      <w:szCs w:val="18"/>
    </w:rPr>
  </w:style>
  <w:style w:type="paragraph" w:styleId="Textkomente">
    <w:name w:val="annotation text"/>
    <w:basedOn w:val="Normln"/>
    <w:link w:val="TextkomenteChar"/>
    <w:uiPriority w:val="99"/>
    <w:semiHidden/>
    <w:unhideWhenUsed/>
    <w:rsid w:val="00217BD8"/>
    <w:rPr>
      <w:szCs w:val="24"/>
    </w:rPr>
  </w:style>
  <w:style w:type="character" w:customStyle="1" w:styleId="TextkomenteChar">
    <w:name w:val="Text komentáře Char"/>
    <w:basedOn w:val="Standardnpsmoodstavce"/>
    <w:link w:val="Textkomente"/>
    <w:uiPriority w:val="99"/>
    <w:semiHidden/>
    <w:rsid w:val="00217BD8"/>
    <w:rPr>
      <w:sz w:val="24"/>
      <w:szCs w:val="24"/>
    </w:rPr>
  </w:style>
  <w:style w:type="paragraph" w:styleId="Pedmtkomente">
    <w:name w:val="annotation subject"/>
    <w:basedOn w:val="Textkomente"/>
    <w:next w:val="Textkomente"/>
    <w:link w:val="PedmtkomenteChar"/>
    <w:uiPriority w:val="99"/>
    <w:semiHidden/>
    <w:unhideWhenUsed/>
    <w:rsid w:val="00217BD8"/>
    <w:rPr>
      <w:b/>
      <w:bCs/>
      <w:sz w:val="20"/>
      <w:szCs w:val="20"/>
    </w:rPr>
  </w:style>
  <w:style w:type="character" w:customStyle="1" w:styleId="PedmtkomenteChar">
    <w:name w:val="Předmět komentáře Char"/>
    <w:basedOn w:val="TextkomenteChar"/>
    <w:link w:val="Pedmtkomente"/>
    <w:uiPriority w:val="99"/>
    <w:semiHidden/>
    <w:rsid w:val="00217BD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2488">
      <w:bodyDiv w:val="1"/>
      <w:marLeft w:val="0"/>
      <w:marRight w:val="0"/>
      <w:marTop w:val="0"/>
      <w:marBottom w:val="0"/>
      <w:divBdr>
        <w:top w:val="none" w:sz="0" w:space="0" w:color="auto"/>
        <w:left w:val="none" w:sz="0" w:space="0" w:color="auto"/>
        <w:bottom w:val="none" w:sz="0" w:space="0" w:color="auto"/>
        <w:right w:val="none" w:sz="0" w:space="0" w:color="auto"/>
      </w:divBdr>
      <w:divsChild>
        <w:div w:id="213087219">
          <w:marLeft w:val="562"/>
          <w:marRight w:val="0"/>
          <w:marTop w:val="106"/>
          <w:marBottom w:val="0"/>
          <w:divBdr>
            <w:top w:val="none" w:sz="0" w:space="0" w:color="auto"/>
            <w:left w:val="none" w:sz="0" w:space="0" w:color="auto"/>
            <w:bottom w:val="none" w:sz="0" w:space="0" w:color="auto"/>
            <w:right w:val="none" w:sz="0" w:space="0" w:color="auto"/>
          </w:divBdr>
        </w:div>
        <w:div w:id="264466143">
          <w:marLeft w:val="562"/>
          <w:marRight w:val="0"/>
          <w:marTop w:val="106"/>
          <w:marBottom w:val="0"/>
          <w:divBdr>
            <w:top w:val="none" w:sz="0" w:space="0" w:color="auto"/>
            <w:left w:val="none" w:sz="0" w:space="0" w:color="auto"/>
            <w:bottom w:val="none" w:sz="0" w:space="0" w:color="auto"/>
            <w:right w:val="none" w:sz="0" w:space="0" w:color="auto"/>
          </w:divBdr>
        </w:div>
        <w:div w:id="755396376">
          <w:marLeft w:val="562"/>
          <w:marRight w:val="0"/>
          <w:marTop w:val="106"/>
          <w:marBottom w:val="0"/>
          <w:divBdr>
            <w:top w:val="none" w:sz="0" w:space="0" w:color="auto"/>
            <w:left w:val="none" w:sz="0" w:space="0" w:color="auto"/>
            <w:bottom w:val="none" w:sz="0" w:space="0" w:color="auto"/>
            <w:right w:val="none" w:sz="0" w:space="0" w:color="auto"/>
          </w:divBdr>
        </w:div>
        <w:div w:id="1676574452">
          <w:marLeft w:val="562"/>
          <w:marRight w:val="0"/>
          <w:marTop w:val="106"/>
          <w:marBottom w:val="0"/>
          <w:divBdr>
            <w:top w:val="none" w:sz="0" w:space="0" w:color="auto"/>
            <w:left w:val="none" w:sz="0" w:space="0" w:color="auto"/>
            <w:bottom w:val="none" w:sz="0" w:space="0" w:color="auto"/>
            <w:right w:val="none" w:sz="0" w:space="0" w:color="auto"/>
          </w:divBdr>
        </w:div>
        <w:div w:id="2043701169">
          <w:marLeft w:val="562"/>
          <w:marRight w:val="0"/>
          <w:marTop w:val="106"/>
          <w:marBottom w:val="0"/>
          <w:divBdr>
            <w:top w:val="none" w:sz="0" w:space="0" w:color="auto"/>
            <w:left w:val="none" w:sz="0" w:space="0" w:color="auto"/>
            <w:bottom w:val="none" w:sz="0" w:space="0" w:color="auto"/>
            <w:right w:val="none" w:sz="0" w:space="0" w:color="auto"/>
          </w:divBdr>
        </w:div>
        <w:div w:id="2128431402">
          <w:marLeft w:val="562"/>
          <w:marRight w:val="0"/>
          <w:marTop w:val="106"/>
          <w:marBottom w:val="0"/>
          <w:divBdr>
            <w:top w:val="none" w:sz="0" w:space="0" w:color="auto"/>
            <w:left w:val="none" w:sz="0" w:space="0" w:color="auto"/>
            <w:bottom w:val="none" w:sz="0" w:space="0" w:color="auto"/>
            <w:right w:val="none" w:sz="0" w:space="0" w:color="auto"/>
          </w:divBdr>
        </w:div>
      </w:divsChild>
    </w:div>
    <w:div w:id="158737383">
      <w:bodyDiv w:val="1"/>
      <w:marLeft w:val="0"/>
      <w:marRight w:val="0"/>
      <w:marTop w:val="0"/>
      <w:marBottom w:val="0"/>
      <w:divBdr>
        <w:top w:val="none" w:sz="0" w:space="0" w:color="auto"/>
        <w:left w:val="none" w:sz="0" w:space="0" w:color="auto"/>
        <w:bottom w:val="none" w:sz="0" w:space="0" w:color="auto"/>
        <w:right w:val="none" w:sz="0" w:space="0" w:color="auto"/>
      </w:divBdr>
      <w:divsChild>
        <w:div w:id="1182935934">
          <w:marLeft w:val="0"/>
          <w:marRight w:val="0"/>
          <w:marTop w:val="0"/>
          <w:marBottom w:val="0"/>
          <w:divBdr>
            <w:top w:val="none" w:sz="0" w:space="0" w:color="auto"/>
            <w:left w:val="none" w:sz="0" w:space="0" w:color="auto"/>
            <w:bottom w:val="none" w:sz="0" w:space="0" w:color="auto"/>
            <w:right w:val="none" w:sz="0" w:space="0" w:color="auto"/>
          </w:divBdr>
          <w:divsChild>
            <w:div w:id="1466703122">
              <w:marLeft w:val="0"/>
              <w:marRight w:val="0"/>
              <w:marTop w:val="0"/>
              <w:marBottom w:val="0"/>
              <w:divBdr>
                <w:top w:val="none" w:sz="0" w:space="0" w:color="auto"/>
                <w:left w:val="none" w:sz="0" w:space="0" w:color="auto"/>
                <w:bottom w:val="none" w:sz="0" w:space="0" w:color="auto"/>
                <w:right w:val="none" w:sz="0" w:space="0" w:color="auto"/>
              </w:divBdr>
              <w:divsChild>
                <w:div w:id="2105227283">
                  <w:marLeft w:val="0"/>
                  <w:marRight w:val="0"/>
                  <w:marTop w:val="0"/>
                  <w:marBottom w:val="0"/>
                  <w:divBdr>
                    <w:top w:val="none" w:sz="0" w:space="0" w:color="auto"/>
                    <w:left w:val="none" w:sz="0" w:space="0" w:color="auto"/>
                    <w:bottom w:val="none" w:sz="0" w:space="0" w:color="auto"/>
                    <w:right w:val="none" w:sz="0" w:space="0" w:color="auto"/>
                  </w:divBdr>
                  <w:divsChild>
                    <w:div w:id="18128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53051530">
      <w:bodyDiv w:val="1"/>
      <w:marLeft w:val="0"/>
      <w:marRight w:val="0"/>
      <w:marTop w:val="0"/>
      <w:marBottom w:val="0"/>
      <w:divBdr>
        <w:top w:val="none" w:sz="0" w:space="0" w:color="auto"/>
        <w:left w:val="none" w:sz="0" w:space="0" w:color="auto"/>
        <w:bottom w:val="none" w:sz="0" w:space="0" w:color="auto"/>
        <w:right w:val="none" w:sz="0" w:space="0" w:color="auto"/>
      </w:divBdr>
      <w:divsChild>
        <w:div w:id="476726210">
          <w:marLeft w:val="0"/>
          <w:marRight w:val="0"/>
          <w:marTop w:val="0"/>
          <w:marBottom w:val="0"/>
          <w:divBdr>
            <w:top w:val="none" w:sz="0" w:space="0" w:color="auto"/>
            <w:left w:val="none" w:sz="0" w:space="0" w:color="auto"/>
            <w:bottom w:val="none" w:sz="0" w:space="0" w:color="auto"/>
            <w:right w:val="none" w:sz="0" w:space="0" w:color="auto"/>
          </w:divBdr>
          <w:divsChild>
            <w:div w:id="22755890">
              <w:marLeft w:val="0"/>
              <w:marRight w:val="0"/>
              <w:marTop w:val="0"/>
              <w:marBottom w:val="0"/>
              <w:divBdr>
                <w:top w:val="none" w:sz="0" w:space="0" w:color="auto"/>
                <w:left w:val="none" w:sz="0" w:space="0" w:color="auto"/>
                <w:bottom w:val="none" w:sz="0" w:space="0" w:color="auto"/>
                <w:right w:val="none" w:sz="0" w:space="0" w:color="auto"/>
              </w:divBdr>
              <w:divsChild>
                <w:div w:id="790977249">
                  <w:marLeft w:val="0"/>
                  <w:marRight w:val="0"/>
                  <w:marTop w:val="0"/>
                  <w:marBottom w:val="0"/>
                  <w:divBdr>
                    <w:top w:val="none" w:sz="0" w:space="0" w:color="auto"/>
                    <w:left w:val="none" w:sz="0" w:space="0" w:color="auto"/>
                    <w:bottom w:val="none" w:sz="0" w:space="0" w:color="auto"/>
                    <w:right w:val="none" w:sz="0" w:space="0" w:color="auto"/>
                  </w:divBdr>
                  <w:divsChild>
                    <w:div w:id="1296251936">
                      <w:marLeft w:val="0"/>
                      <w:marRight w:val="0"/>
                      <w:marTop w:val="408"/>
                      <w:marBottom w:val="0"/>
                      <w:divBdr>
                        <w:top w:val="none" w:sz="0" w:space="0" w:color="auto"/>
                        <w:left w:val="none" w:sz="0" w:space="0" w:color="auto"/>
                        <w:bottom w:val="none" w:sz="0" w:space="0" w:color="auto"/>
                        <w:right w:val="none" w:sz="0" w:space="0" w:color="auto"/>
                      </w:divBdr>
                      <w:divsChild>
                        <w:div w:id="1497917099">
                          <w:marLeft w:val="0"/>
                          <w:marRight w:val="0"/>
                          <w:marTop w:val="0"/>
                          <w:marBottom w:val="0"/>
                          <w:divBdr>
                            <w:top w:val="none" w:sz="0" w:space="0" w:color="auto"/>
                            <w:left w:val="none" w:sz="0" w:space="0" w:color="auto"/>
                            <w:bottom w:val="none" w:sz="0" w:space="0" w:color="auto"/>
                            <w:right w:val="none" w:sz="0" w:space="0" w:color="auto"/>
                          </w:divBdr>
                          <w:divsChild>
                            <w:div w:id="41564633">
                              <w:marLeft w:val="0"/>
                              <w:marRight w:val="0"/>
                              <w:marTop w:val="326"/>
                              <w:marBottom w:val="0"/>
                              <w:divBdr>
                                <w:top w:val="none" w:sz="0" w:space="0" w:color="auto"/>
                                <w:left w:val="none" w:sz="0" w:space="0" w:color="auto"/>
                                <w:bottom w:val="none" w:sz="0" w:space="0" w:color="auto"/>
                                <w:right w:val="none" w:sz="0" w:space="0" w:color="auto"/>
                              </w:divBdr>
                              <w:divsChild>
                                <w:div w:id="829179482">
                                  <w:marLeft w:val="0"/>
                                  <w:marRight w:val="0"/>
                                  <w:marTop w:val="0"/>
                                  <w:marBottom w:val="0"/>
                                  <w:divBdr>
                                    <w:top w:val="none" w:sz="0" w:space="0" w:color="auto"/>
                                    <w:left w:val="none" w:sz="0" w:space="0" w:color="auto"/>
                                    <w:bottom w:val="none" w:sz="0" w:space="0" w:color="auto"/>
                                    <w:right w:val="none" w:sz="0" w:space="0" w:color="auto"/>
                                  </w:divBdr>
                                  <w:divsChild>
                                    <w:div w:id="7671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11345">
      <w:bodyDiv w:val="1"/>
      <w:marLeft w:val="0"/>
      <w:marRight w:val="0"/>
      <w:marTop w:val="0"/>
      <w:marBottom w:val="0"/>
      <w:divBdr>
        <w:top w:val="none" w:sz="0" w:space="0" w:color="auto"/>
        <w:left w:val="none" w:sz="0" w:space="0" w:color="auto"/>
        <w:bottom w:val="none" w:sz="0" w:space="0" w:color="auto"/>
        <w:right w:val="none" w:sz="0" w:space="0" w:color="auto"/>
      </w:divBdr>
    </w:div>
    <w:div w:id="342325182">
      <w:bodyDiv w:val="1"/>
      <w:marLeft w:val="0"/>
      <w:marRight w:val="0"/>
      <w:marTop w:val="0"/>
      <w:marBottom w:val="0"/>
      <w:divBdr>
        <w:top w:val="none" w:sz="0" w:space="0" w:color="auto"/>
        <w:left w:val="none" w:sz="0" w:space="0" w:color="auto"/>
        <w:bottom w:val="none" w:sz="0" w:space="0" w:color="auto"/>
        <w:right w:val="none" w:sz="0" w:space="0" w:color="auto"/>
      </w:divBdr>
    </w:div>
    <w:div w:id="427772880">
      <w:bodyDiv w:val="1"/>
      <w:marLeft w:val="0"/>
      <w:marRight w:val="0"/>
      <w:marTop w:val="0"/>
      <w:marBottom w:val="0"/>
      <w:divBdr>
        <w:top w:val="none" w:sz="0" w:space="0" w:color="auto"/>
        <w:left w:val="none" w:sz="0" w:space="0" w:color="auto"/>
        <w:bottom w:val="none" w:sz="0" w:space="0" w:color="auto"/>
        <w:right w:val="none" w:sz="0" w:space="0" w:color="auto"/>
      </w:divBdr>
      <w:divsChild>
        <w:div w:id="1524513870">
          <w:marLeft w:val="0"/>
          <w:marRight w:val="0"/>
          <w:marTop w:val="300"/>
          <w:marBottom w:val="0"/>
          <w:divBdr>
            <w:top w:val="none" w:sz="0" w:space="0" w:color="auto"/>
            <w:left w:val="none" w:sz="0" w:space="0" w:color="auto"/>
            <w:bottom w:val="none" w:sz="0" w:space="0" w:color="auto"/>
            <w:right w:val="none" w:sz="0" w:space="0" w:color="auto"/>
          </w:divBdr>
        </w:div>
        <w:div w:id="1424951994">
          <w:marLeft w:val="2100"/>
          <w:marRight w:val="300"/>
          <w:marTop w:val="300"/>
          <w:marBottom w:val="0"/>
          <w:divBdr>
            <w:top w:val="single" w:sz="6" w:space="8" w:color="D6D6D6"/>
            <w:left w:val="none" w:sz="0" w:space="0" w:color="auto"/>
            <w:bottom w:val="none" w:sz="0" w:space="0" w:color="auto"/>
            <w:right w:val="none" w:sz="0" w:space="0" w:color="auto"/>
          </w:divBdr>
          <w:divsChild>
            <w:div w:id="948855627">
              <w:marLeft w:val="0"/>
              <w:marRight w:val="0"/>
              <w:marTop w:val="0"/>
              <w:marBottom w:val="0"/>
              <w:divBdr>
                <w:top w:val="none" w:sz="0" w:space="0" w:color="auto"/>
                <w:left w:val="none" w:sz="0" w:space="0" w:color="auto"/>
                <w:bottom w:val="none" w:sz="0" w:space="0" w:color="auto"/>
                <w:right w:val="none" w:sz="0" w:space="0" w:color="auto"/>
              </w:divBdr>
              <w:divsChild>
                <w:div w:id="2991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89522">
      <w:bodyDiv w:val="1"/>
      <w:marLeft w:val="0"/>
      <w:marRight w:val="0"/>
      <w:marTop w:val="0"/>
      <w:marBottom w:val="0"/>
      <w:divBdr>
        <w:top w:val="none" w:sz="0" w:space="0" w:color="auto"/>
        <w:left w:val="none" w:sz="0" w:space="0" w:color="auto"/>
        <w:bottom w:val="none" w:sz="0" w:space="0" w:color="auto"/>
        <w:right w:val="none" w:sz="0" w:space="0" w:color="auto"/>
      </w:divBdr>
      <w:divsChild>
        <w:div w:id="1031806118">
          <w:marLeft w:val="0"/>
          <w:marRight w:val="0"/>
          <w:marTop w:val="0"/>
          <w:marBottom w:val="0"/>
          <w:divBdr>
            <w:top w:val="none" w:sz="0" w:space="0" w:color="auto"/>
            <w:left w:val="none" w:sz="0" w:space="0" w:color="auto"/>
            <w:bottom w:val="none" w:sz="0" w:space="0" w:color="auto"/>
            <w:right w:val="none" w:sz="0" w:space="0" w:color="auto"/>
          </w:divBdr>
          <w:divsChild>
            <w:div w:id="1546217094">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6179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60560550">
      <w:bodyDiv w:val="1"/>
      <w:marLeft w:val="0"/>
      <w:marRight w:val="0"/>
      <w:marTop w:val="0"/>
      <w:marBottom w:val="0"/>
      <w:divBdr>
        <w:top w:val="none" w:sz="0" w:space="0" w:color="auto"/>
        <w:left w:val="none" w:sz="0" w:space="0" w:color="auto"/>
        <w:bottom w:val="none" w:sz="0" w:space="0" w:color="auto"/>
        <w:right w:val="none" w:sz="0" w:space="0" w:color="auto"/>
      </w:divBdr>
    </w:div>
    <w:div w:id="567769163">
      <w:bodyDiv w:val="1"/>
      <w:marLeft w:val="0"/>
      <w:marRight w:val="0"/>
      <w:marTop w:val="0"/>
      <w:marBottom w:val="0"/>
      <w:divBdr>
        <w:top w:val="none" w:sz="0" w:space="0" w:color="auto"/>
        <w:left w:val="none" w:sz="0" w:space="0" w:color="auto"/>
        <w:bottom w:val="none" w:sz="0" w:space="0" w:color="auto"/>
        <w:right w:val="none" w:sz="0" w:space="0" w:color="auto"/>
      </w:divBdr>
    </w:div>
    <w:div w:id="696195024">
      <w:bodyDiv w:val="1"/>
      <w:marLeft w:val="0"/>
      <w:marRight w:val="0"/>
      <w:marTop w:val="0"/>
      <w:marBottom w:val="0"/>
      <w:divBdr>
        <w:top w:val="none" w:sz="0" w:space="0" w:color="auto"/>
        <w:left w:val="none" w:sz="0" w:space="0" w:color="auto"/>
        <w:bottom w:val="none" w:sz="0" w:space="0" w:color="auto"/>
        <w:right w:val="none" w:sz="0" w:space="0" w:color="auto"/>
      </w:divBdr>
    </w:div>
    <w:div w:id="747850032">
      <w:bodyDiv w:val="1"/>
      <w:marLeft w:val="0"/>
      <w:marRight w:val="0"/>
      <w:marTop w:val="0"/>
      <w:marBottom w:val="0"/>
      <w:divBdr>
        <w:top w:val="none" w:sz="0" w:space="0" w:color="auto"/>
        <w:left w:val="none" w:sz="0" w:space="0" w:color="auto"/>
        <w:bottom w:val="none" w:sz="0" w:space="0" w:color="auto"/>
        <w:right w:val="none" w:sz="0" w:space="0" w:color="auto"/>
      </w:divBdr>
      <w:divsChild>
        <w:div w:id="946431127">
          <w:marLeft w:val="0"/>
          <w:marRight w:val="0"/>
          <w:marTop w:val="300"/>
          <w:marBottom w:val="0"/>
          <w:divBdr>
            <w:top w:val="none" w:sz="0" w:space="0" w:color="auto"/>
            <w:left w:val="none" w:sz="0" w:space="0" w:color="auto"/>
            <w:bottom w:val="none" w:sz="0" w:space="0" w:color="auto"/>
            <w:right w:val="none" w:sz="0" w:space="0" w:color="auto"/>
          </w:divBdr>
        </w:div>
        <w:div w:id="474570883">
          <w:marLeft w:val="2100"/>
          <w:marRight w:val="300"/>
          <w:marTop w:val="300"/>
          <w:marBottom w:val="0"/>
          <w:divBdr>
            <w:top w:val="single" w:sz="6" w:space="8" w:color="D6D6D6"/>
            <w:left w:val="none" w:sz="0" w:space="0" w:color="auto"/>
            <w:bottom w:val="none" w:sz="0" w:space="0" w:color="auto"/>
            <w:right w:val="none" w:sz="0" w:space="0" w:color="auto"/>
          </w:divBdr>
          <w:divsChild>
            <w:div w:id="880483764">
              <w:marLeft w:val="0"/>
              <w:marRight w:val="0"/>
              <w:marTop w:val="0"/>
              <w:marBottom w:val="0"/>
              <w:divBdr>
                <w:top w:val="none" w:sz="0" w:space="0" w:color="auto"/>
                <w:left w:val="none" w:sz="0" w:space="0" w:color="auto"/>
                <w:bottom w:val="none" w:sz="0" w:space="0" w:color="auto"/>
                <w:right w:val="none" w:sz="0" w:space="0" w:color="auto"/>
              </w:divBdr>
              <w:divsChild>
                <w:div w:id="1424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129518227">
      <w:bodyDiv w:val="1"/>
      <w:marLeft w:val="0"/>
      <w:marRight w:val="0"/>
      <w:marTop w:val="0"/>
      <w:marBottom w:val="0"/>
      <w:divBdr>
        <w:top w:val="none" w:sz="0" w:space="0" w:color="auto"/>
        <w:left w:val="none" w:sz="0" w:space="0" w:color="auto"/>
        <w:bottom w:val="none" w:sz="0" w:space="0" w:color="auto"/>
        <w:right w:val="none" w:sz="0" w:space="0" w:color="auto"/>
      </w:divBdr>
      <w:divsChild>
        <w:div w:id="1328746121">
          <w:marLeft w:val="1166"/>
          <w:marRight w:val="0"/>
          <w:marTop w:val="96"/>
          <w:marBottom w:val="0"/>
          <w:divBdr>
            <w:top w:val="none" w:sz="0" w:space="0" w:color="auto"/>
            <w:left w:val="none" w:sz="0" w:space="0" w:color="auto"/>
            <w:bottom w:val="none" w:sz="0" w:space="0" w:color="auto"/>
            <w:right w:val="none" w:sz="0" w:space="0" w:color="auto"/>
          </w:divBdr>
        </w:div>
        <w:div w:id="1660620478">
          <w:marLeft w:val="1166"/>
          <w:marRight w:val="0"/>
          <w:marTop w:val="96"/>
          <w:marBottom w:val="0"/>
          <w:divBdr>
            <w:top w:val="none" w:sz="0" w:space="0" w:color="auto"/>
            <w:left w:val="none" w:sz="0" w:space="0" w:color="auto"/>
            <w:bottom w:val="none" w:sz="0" w:space="0" w:color="auto"/>
            <w:right w:val="none" w:sz="0" w:space="0" w:color="auto"/>
          </w:divBdr>
        </w:div>
        <w:div w:id="175970739">
          <w:marLeft w:val="1166"/>
          <w:marRight w:val="0"/>
          <w:marTop w:val="96"/>
          <w:marBottom w:val="0"/>
          <w:divBdr>
            <w:top w:val="none" w:sz="0" w:space="0" w:color="auto"/>
            <w:left w:val="none" w:sz="0" w:space="0" w:color="auto"/>
            <w:bottom w:val="none" w:sz="0" w:space="0" w:color="auto"/>
            <w:right w:val="none" w:sz="0" w:space="0" w:color="auto"/>
          </w:divBdr>
        </w:div>
        <w:div w:id="1460148117">
          <w:marLeft w:val="1166"/>
          <w:marRight w:val="0"/>
          <w:marTop w:val="96"/>
          <w:marBottom w:val="0"/>
          <w:divBdr>
            <w:top w:val="none" w:sz="0" w:space="0" w:color="auto"/>
            <w:left w:val="none" w:sz="0" w:space="0" w:color="auto"/>
            <w:bottom w:val="none" w:sz="0" w:space="0" w:color="auto"/>
            <w:right w:val="none" w:sz="0" w:space="0" w:color="auto"/>
          </w:divBdr>
        </w:div>
        <w:div w:id="894851577">
          <w:marLeft w:val="1166"/>
          <w:marRight w:val="0"/>
          <w:marTop w:val="96"/>
          <w:marBottom w:val="0"/>
          <w:divBdr>
            <w:top w:val="none" w:sz="0" w:space="0" w:color="auto"/>
            <w:left w:val="none" w:sz="0" w:space="0" w:color="auto"/>
            <w:bottom w:val="none" w:sz="0" w:space="0" w:color="auto"/>
            <w:right w:val="none" w:sz="0" w:space="0" w:color="auto"/>
          </w:divBdr>
        </w:div>
      </w:divsChild>
    </w:div>
    <w:div w:id="1168786545">
      <w:bodyDiv w:val="1"/>
      <w:marLeft w:val="0"/>
      <w:marRight w:val="0"/>
      <w:marTop w:val="0"/>
      <w:marBottom w:val="0"/>
      <w:divBdr>
        <w:top w:val="none" w:sz="0" w:space="0" w:color="auto"/>
        <w:left w:val="none" w:sz="0" w:space="0" w:color="auto"/>
        <w:bottom w:val="none" w:sz="0" w:space="0" w:color="auto"/>
        <w:right w:val="none" w:sz="0" w:space="0" w:color="auto"/>
      </w:divBdr>
      <w:divsChild>
        <w:div w:id="1387989540">
          <w:marLeft w:val="0"/>
          <w:marRight w:val="0"/>
          <w:marTop w:val="300"/>
          <w:marBottom w:val="0"/>
          <w:divBdr>
            <w:top w:val="none" w:sz="0" w:space="0" w:color="auto"/>
            <w:left w:val="none" w:sz="0" w:space="0" w:color="auto"/>
            <w:bottom w:val="none" w:sz="0" w:space="0" w:color="auto"/>
            <w:right w:val="none" w:sz="0" w:space="0" w:color="auto"/>
          </w:divBdr>
        </w:div>
      </w:divsChild>
    </w:div>
    <w:div w:id="1254045964">
      <w:bodyDiv w:val="1"/>
      <w:marLeft w:val="0"/>
      <w:marRight w:val="0"/>
      <w:marTop w:val="0"/>
      <w:marBottom w:val="0"/>
      <w:divBdr>
        <w:top w:val="none" w:sz="0" w:space="0" w:color="auto"/>
        <w:left w:val="none" w:sz="0" w:space="0" w:color="auto"/>
        <w:bottom w:val="none" w:sz="0" w:space="0" w:color="auto"/>
        <w:right w:val="none" w:sz="0" w:space="0" w:color="auto"/>
      </w:divBdr>
    </w:div>
    <w:div w:id="1298759476">
      <w:bodyDiv w:val="1"/>
      <w:marLeft w:val="0"/>
      <w:marRight w:val="0"/>
      <w:marTop w:val="0"/>
      <w:marBottom w:val="0"/>
      <w:divBdr>
        <w:top w:val="none" w:sz="0" w:space="0" w:color="auto"/>
        <w:left w:val="none" w:sz="0" w:space="0" w:color="auto"/>
        <w:bottom w:val="none" w:sz="0" w:space="0" w:color="auto"/>
        <w:right w:val="none" w:sz="0" w:space="0" w:color="auto"/>
      </w:divBdr>
      <w:divsChild>
        <w:div w:id="315885614">
          <w:marLeft w:val="0"/>
          <w:marRight w:val="0"/>
          <w:marTop w:val="0"/>
          <w:marBottom w:val="0"/>
          <w:divBdr>
            <w:top w:val="none" w:sz="0" w:space="0" w:color="auto"/>
            <w:left w:val="none" w:sz="0" w:space="0" w:color="auto"/>
            <w:bottom w:val="none" w:sz="0" w:space="0" w:color="auto"/>
            <w:right w:val="none" w:sz="0" w:space="0" w:color="auto"/>
          </w:divBdr>
          <w:divsChild>
            <w:div w:id="1852840011">
              <w:marLeft w:val="0"/>
              <w:marRight w:val="0"/>
              <w:marTop w:val="0"/>
              <w:marBottom w:val="0"/>
              <w:divBdr>
                <w:top w:val="none" w:sz="0" w:space="0" w:color="auto"/>
                <w:left w:val="none" w:sz="0" w:space="0" w:color="auto"/>
                <w:bottom w:val="none" w:sz="0" w:space="0" w:color="auto"/>
                <w:right w:val="none" w:sz="0" w:space="0" w:color="auto"/>
              </w:divBdr>
              <w:divsChild>
                <w:div w:id="675612709">
                  <w:marLeft w:val="0"/>
                  <w:marRight w:val="0"/>
                  <w:marTop w:val="0"/>
                  <w:marBottom w:val="0"/>
                  <w:divBdr>
                    <w:top w:val="none" w:sz="0" w:space="0" w:color="auto"/>
                    <w:left w:val="none" w:sz="0" w:space="0" w:color="auto"/>
                    <w:bottom w:val="none" w:sz="0" w:space="0" w:color="auto"/>
                    <w:right w:val="none" w:sz="0" w:space="0" w:color="auto"/>
                  </w:divBdr>
                  <w:divsChild>
                    <w:div w:id="1822891665">
                      <w:marLeft w:val="2880"/>
                      <w:marRight w:val="0"/>
                      <w:marTop w:val="0"/>
                      <w:marBottom w:val="0"/>
                      <w:divBdr>
                        <w:top w:val="none" w:sz="0" w:space="0" w:color="auto"/>
                        <w:left w:val="none" w:sz="0" w:space="0" w:color="auto"/>
                        <w:bottom w:val="none" w:sz="0" w:space="0" w:color="auto"/>
                        <w:right w:val="none" w:sz="0" w:space="0" w:color="auto"/>
                      </w:divBdr>
                      <w:divsChild>
                        <w:div w:id="33039665">
                          <w:marLeft w:val="0"/>
                          <w:marRight w:val="0"/>
                          <w:marTop w:val="0"/>
                          <w:marBottom w:val="0"/>
                          <w:divBdr>
                            <w:top w:val="none" w:sz="0" w:space="0" w:color="auto"/>
                            <w:left w:val="none" w:sz="0" w:space="0" w:color="auto"/>
                            <w:bottom w:val="none" w:sz="0" w:space="0" w:color="auto"/>
                            <w:right w:val="none" w:sz="0" w:space="0" w:color="auto"/>
                          </w:divBdr>
                          <w:divsChild>
                            <w:div w:id="962421824">
                              <w:marLeft w:val="0"/>
                              <w:marRight w:val="0"/>
                              <w:marTop w:val="0"/>
                              <w:marBottom w:val="0"/>
                              <w:divBdr>
                                <w:top w:val="none" w:sz="0" w:space="0" w:color="auto"/>
                                <w:left w:val="none" w:sz="0" w:space="0" w:color="auto"/>
                                <w:bottom w:val="none" w:sz="0" w:space="0" w:color="auto"/>
                                <w:right w:val="none" w:sz="0" w:space="0" w:color="auto"/>
                              </w:divBdr>
                              <w:divsChild>
                                <w:div w:id="959264827">
                                  <w:marLeft w:val="0"/>
                                  <w:marRight w:val="0"/>
                                  <w:marTop w:val="0"/>
                                  <w:marBottom w:val="0"/>
                                  <w:divBdr>
                                    <w:top w:val="none" w:sz="0" w:space="0" w:color="auto"/>
                                    <w:left w:val="none" w:sz="0" w:space="0" w:color="auto"/>
                                    <w:bottom w:val="none" w:sz="0" w:space="0" w:color="auto"/>
                                    <w:right w:val="none" w:sz="0" w:space="0" w:color="auto"/>
                                  </w:divBdr>
                                  <w:divsChild>
                                    <w:div w:id="1022826426">
                                      <w:marLeft w:val="0"/>
                                      <w:marRight w:val="0"/>
                                      <w:marTop w:val="0"/>
                                      <w:marBottom w:val="0"/>
                                      <w:divBdr>
                                        <w:top w:val="none" w:sz="0" w:space="0" w:color="auto"/>
                                        <w:left w:val="none" w:sz="0" w:space="0" w:color="auto"/>
                                        <w:bottom w:val="none" w:sz="0" w:space="0" w:color="auto"/>
                                        <w:right w:val="none" w:sz="0" w:space="0" w:color="auto"/>
                                      </w:divBdr>
                                      <w:divsChild>
                                        <w:div w:id="2020306133">
                                          <w:marLeft w:val="0"/>
                                          <w:marRight w:val="0"/>
                                          <w:marTop w:val="0"/>
                                          <w:marBottom w:val="0"/>
                                          <w:divBdr>
                                            <w:top w:val="none" w:sz="0" w:space="0" w:color="auto"/>
                                            <w:left w:val="none" w:sz="0" w:space="0" w:color="auto"/>
                                            <w:bottom w:val="none" w:sz="0" w:space="0" w:color="auto"/>
                                            <w:right w:val="none" w:sz="0" w:space="0" w:color="auto"/>
                                          </w:divBdr>
                                          <w:divsChild>
                                            <w:div w:id="1495757041">
                                              <w:marLeft w:val="0"/>
                                              <w:marRight w:val="0"/>
                                              <w:marTop w:val="0"/>
                                              <w:marBottom w:val="0"/>
                                              <w:divBdr>
                                                <w:top w:val="none" w:sz="0" w:space="0" w:color="auto"/>
                                                <w:left w:val="none" w:sz="0" w:space="0" w:color="auto"/>
                                                <w:bottom w:val="none" w:sz="0" w:space="0" w:color="auto"/>
                                                <w:right w:val="none" w:sz="0" w:space="0" w:color="auto"/>
                                              </w:divBdr>
                                              <w:divsChild>
                                                <w:div w:id="15037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1880402">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465810088">
      <w:bodyDiv w:val="1"/>
      <w:marLeft w:val="0"/>
      <w:marRight w:val="0"/>
      <w:marTop w:val="0"/>
      <w:marBottom w:val="0"/>
      <w:divBdr>
        <w:top w:val="none" w:sz="0" w:space="0" w:color="auto"/>
        <w:left w:val="none" w:sz="0" w:space="0" w:color="auto"/>
        <w:bottom w:val="none" w:sz="0" w:space="0" w:color="auto"/>
        <w:right w:val="none" w:sz="0" w:space="0" w:color="auto"/>
      </w:divBdr>
      <w:divsChild>
        <w:div w:id="1685324122">
          <w:marLeft w:val="0"/>
          <w:marRight w:val="0"/>
          <w:marTop w:val="0"/>
          <w:marBottom w:val="0"/>
          <w:divBdr>
            <w:top w:val="none" w:sz="0" w:space="0" w:color="auto"/>
            <w:left w:val="none" w:sz="0" w:space="0" w:color="auto"/>
            <w:bottom w:val="none" w:sz="0" w:space="0" w:color="auto"/>
            <w:right w:val="none" w:sz="0" w:space="0" w:color="auto"/>
          </w:divBdr>
          <w:divsChild>
            <w:div w:id="520823219">
              <w:marLeft w:val="0"/>
              <w:marRight w:val="0"/>
              <w:marTop w:val="0"/>
              <w:marBottom w:val="0"/>
              <w:divBdr>
                <w:top w:val="none" w:sz="0" w:space="0" w:color="auto"/>
                <w:left w:val="none" w:sz="0" w:space="0" w:color="auto"/>
                <w:bottom w:val="none" w:sz="0" w:space="0" w:color="auto"/>
                <w:right w:val="none" w:sz="0" w:space="0" w:color="auto"/>
              </w:divBdr>
              <w:divsChild>
                <w:div w:id="944845618">
                  <w:marLeft w:val="0"/>
                  <w:marRight w:val="0"/>
                  <w:marTop w:val="0"/>
                  <w:marBottom w:val="0"/>
                  <w:divBdr>
                    <w:top w:val="none" w:sz="0" w:space="0" w:color="auto"/>
                    <w:left w:val="none" w:sz="0" w:space="0" w:color="auto"/>
                    <w:bottom w:val="none" w:sz="0" w:space="0" w:color="auto"/>
                    <w:right w:val="none" w:sz="0" w:space="0" w:color="auto"/>
                  </w:divBdr>
                  <w:divsChild>
                    <w:div w:id="1453741657">
                      <w:marLeft w:val="2880"/>
                      <w:marRight w:val="0"/>
                      <w:marTop w:val="0"/>
                      <w:marBottom w:val="0"/>
                      <w:divBdr>
                        <w:top w:val="none" w:sz="0" w:space="0" w:color="auto"/>
                        <w:left w:val="none" w:sz="0" w:space="0" w:color="auto"/>
                        <w:bottom w:val="none" w:sz="0" w:space="0" w:color="auto"/>
                        <w:right w:val="none" w:sz="0" w:space="0" w:color="auto"/>
                      </w:divBdr>
                      <w:divsChild>
                        <w:div w:id="58481326">
                          <w:marLeft w:val="0"/>
                          <w:marRight w:val="0"/>
                          <w:marTop w:val="0"/>
                          <w:marBottom w:val="0"/>
                          <w:divBdr>
                            <w:top w:val="none" w:sz="0" w:space="0" w:color="auto"/>
                            <w:left w:val="none" w:sz="0" w:space="0" w:color="auto"/>
                            <w:bottom w:val="none" w:sz="0" w:space="0" w:color="auto"/>
                            <w:right w:val="none" w:sz="0" w:space="0" w:color="auto"/>
                          </w:divBdr>
                          <w:divsChild>
                            <w:div w:id="414402008">
                              <w:marLeft w:val="0"/>
                              <w:marRight w:val="0"/>
                              <w:marTop w:val="0"/>
                              <w:marBottom w:val="0"/>
                              <w:divBdr>
                                <w:top w:val="none" w:sz="0" w:space="0" w:color="auto"/>
                                <w:left w:val="none" w:sz="0" w:space="0" w:color="auto"/>
                                <w:bottom w:val="none" w:sz="0" w:space="0" w:color="auto"/>
                                <w:right w:val="none" w:sz="0" w:space="0" w:color="auto"/>
                              </w:divBdr>
                              <w:divsChild>
                                <w:div w:id="1888375804">
                                  <w:marLeft w:val="0"/>
                                  <w:marRight w:val="0"/>
                                  <w:marTop w:val="0"/>
                                  <w:marBottom w:val="0"/>
                                  <w:divBdr>
                                    <w:top w:val="none" w:sz="0" w:space="0" w:color="auto"/>
                                    <w:left w:val="none" w:sz="0" w:space="0" w:color="auto"/>
                                    <w:bottom w:val="none" w:sz="0" w:space="0" w:color="auto"/>
                                    <w:right w:val="none" w:sz="0" w:space="0" w:color="auto"/>
                                  </w:divBdr>
                                  <w:divsChild>
                                    <w:div w:id="1051922242">
                                      <w:marLeft w:val="0"/>
                                      <w:marRight w:val="0"/>
                                      <w:marTop w:val="0"/>
                                      <w:marBottom w:val="0"/>
                                      <w:divBdr>
                                        <w:top w:val="none" w:sz="0" w:space="0" w:color="auto"/>
                                        <w:left w:val="none" w:sz="0" w:space="0" w:color="auto"/>
                                        <w:bottom w:val="none" w:sz="0" w:space="0" w:color="auto"/>
                                        <w:right w:val="none" w:sz="0" w:space="0" w:color="auto"/>
                                      </w:divBdr>
                                      <w:divsChild>
                                        <w:div w:id="624117016">
                                          <w:marLeft w:val="0"/>
                                          <w:marRight w:val="0"/>
                                          <w:marTop w:val="0"/>
                                          <w:marBottom w:val="0"/>
                                          <w:divBdr>
                                            <w:top w:val="none" w:sz="0" w:space="0" w:color="auto"/>
                                            <w:left w:val="none" w:sz="0" w:space="0" w:color="auto"/>
                                            <w:bottom w:val="none" w:sz="0" w:space="0" w:color="auto"/>
                                            <w:right w:val="none" w:sz="0" w:space="0" w:color="auto"/>
                                          </w:divBdr>
                                          <w:divsChild>
                                            <w:div w:id="1735394829">
                                              <w:marLeft w:val="0"/>
                                              <w:marRight w:val="0"/>
                                              <w:marTop w:val="0"/>
                                              <w:marBottom w:val="0"/>
                                              <w:divBdr>
                                                <w:top w:val="none" w:sz="0" w:space="0" w:color="auto"/>
                                                <w:left w:val="none" w:sz="0" w:space="0" w:color="auto"/>
                                                <w:bottom w:val="none" w:sz="0" w:space="0" w:color="auto"/>
                                                <w:right w:val="none" w:sz="0" w:space="0" w:color="auto"/>
                                              </w:divBdr>
                                              <w:divsChild>
                                                <w:div w:id="1013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5967242">
      <w:bodyDiv w:val="1"/>
      <w:marLeft w:val="0"/>
      <w:marRight w:val="0"/>
      <w:marTop w:val="0"/>
      <w:marBottom w:val="0"/>
      <w:divBdr>
        <w:top w:val="none" w:sz="0" w:space="0" w:color="auto"/>
        <w:left w:val="none" w:sz="0" w:space="0" w:color="auto"/>
        <w:bottom w:val="none" w:sz="0" w:space="0" w:color="auto"/>
        <w:right w:val="none" w:sz="0" w:space="0" w:color="auto"/>
      </w:divBdr>
      <w:divsChild>
        <w:div w:id="1725984104">
          <w:marLeft w:val="0"/>
          <w:marRight w:val="0"/>
          <w:marTop w:val="0"/>
          <w:marBottom w:val="0"/>
          <w:divBdr>
            <w:top w:val="none" w:sz="0" w:space="0" w:color="auto"/>
            <w:left w:val="none" w:sz="0" w:space="0" w:color="auto"/>
            <w:bottom w:val="none" w:sz="0" w:space="0" w:color="auto"/>
            <w:right w:val="none" w:sz="0" w:space="0" w:color="auto"/>
          </w:divBdr>
          <w:divsChild>
            <w:div w:id="1498375555">
              <w:marLeft w:val="0"/>
              <w:marRight w:val="0"/>
              <w:marTop w:val="0"/>
              <w:marBottom w:val="0"/>
              <w:divBdr>
                <w:top w:val="none" w:sz="0" w:space="0" w:color="auto"/>
                <w:left w:val="none" w:sz="0" w:space="0" w:color="auto"/>
                <w:bottom w:val="none" w:sz="0" w:space="0" w:color="auto"/>
                <w:right w:val="none" w:sz="0" w:space="0" w:color="auto"/>
              </w:divBdr>
              <w:divsChild>
                <w:div w:id="1820924769">
                  <w:marLeft w:val="0"/>
                  <w:marRight w:val="0"/>
                  <w:marTop w:val="0"/>
                  <w:marBottom w:val="0"/>
                  <w:divBdr>
                    <w:top w:val="none" w:sz="0" w:space="0" w:color="auto"/>
                    <w:left w:val="none" w:sz="0" w:space="0" w:color="auto"/>
                    <w:bottom w:val="none" w:sz="0" w:space="0" w:color="auto"/>
                    <w:right w:val="none" w:sz="0" w:space="0" w:color="auto"/>
                  </w:divBdr>
                  <w:divsChild>
                    <w:div w:id="1283147914">
                      <w:marLeft w:val="2880"/>
                      <w:marRight w:val="0"/>
                      <w:marTop w:val="0"/>
                      <w:marBottom w:val="0"/>
                      <w:divBdr>
                        <w:top w:val="none" w:sz="0" w:space="0" w:color="auto"/>
                        <w:left w:val="none" w:sz="0" w:space="0" w:color="auto"/>
                        <w:bottom w:val="none" w:sz="0" w:space="0" w:color="auto"/>
                        <w:right w:val="none" w:sz="0" w:space="0" w:color="auto"/>
                      </w:divBdr>
                      <w:divsChild>
                        <w:div w:id="1352799025">
                          <w:marLeft w:val="0"/>
                          <w:marRight w:val="0"/>
                          <w:marTop w:val="0"/>
                          <w:marBottom w:val="0"/>
                          <w:divBdr>
                            <w:top w:val="none" w:sz="0" w:space="0" w:color="auto"/>
                            <w:left w:val="none" w:sz="0" w:space="0" w:color="auto"/>
                            <w:bottom w:val="none" w:sz="0" w:space="0" w:color="auto"/>
                            <w:right w:val="none" w:sz="0" w:space="0" w:color="auto"/>
                          </w:divBdr>
                          <w:divsChild>
                            <w:div w:id="624698112">
                              <w:marLeft w:val="0"/>
                              <w:marRight w:val="0"/>
                              <w:marTop w:val="0"/>
                              <w:marBottom w:val="0"/>
                              <w:divBdr>
                                <w:top w:val="none" w:sz="0" w:space="0" w:color="auto"/>
                                <w:left w:val="none" w:sz="0" w:space="0" w:color="auto"/>
                                <w:bottom w:val="none" w:sz="0" w:space="0" w:color="auto"/>
                                <w:right w:val="none" w:sz="0" w:space="0" w:color="auto"/>
                              </w:divBdr>
                              <w:divsChild>
                                <w:div w:id="1182280815">
                                  <w:marLeft w:val="0"/>
                                  <w:marRight w:val="0"/>
                                  <w:marTop w:val="0"/>
                                  <w:marBottom w:val="0"/>
                                  <w:divBdr>
                                    <w:top w:val="none" w:sz="0" w:space="0" w:color="auto"/>
                                    <w:left w:val="none" w:sz="0" w:space="0" w:color="auto"/>
                                    <w:bottom w:val="none" w:sz="0" w:space="0" w:color="auto"/>
                                    <w:right w:val="none" w:sz="0" w:space="0" w:color="auto"/>
                                  </w:divBdr>
                                  <w:divsChild>
                                    <w:div w:id="2063288550">
                                      <w:marLeft w:val="0"/>
                                      <w:marRight w:val="0"/>
                                      <w:marTop w:val="0"/>
                                      <w:marBottom w:val="0"/>
                                      <w:divBdr>
                                        <w:top w:val="none" w:sz="0" w:space="0" w:color="auto"/>
                                        <w:left w:val="none" w:sz="0" w:space="0" w:color="auto"/>
                                        <w:bottom w:val="none" w:sz="0" w:space="0" w:color="auto"/>
                                        <w:right w:val="none" w:sz="0" w:space="0" w:color="auto"/>
                                      </w:divBdr>
                                      <w:divsChild>
                                        <w:div w:id="1326586204">
                                          <w:marLeft w:val="0"/>
                                          <w:marRight w:val="0"/>
                                          <w:marTop w:val="0"/>
                                          <w:marBottom w:val="0"/>
                                          <w:divBdr>
                                            <w:top w:val="none" w:sz="0" w:space="0" w:color="auto"/>
                                            <w:left w:val="none" w:sz="0" w:space="0" w:color="auto"/>
                                            <w:bottom w:val="none" w:sz="0" w:space="0" w:color="auto"/>
                                            <w:right w:val="none" w:sz="0" w:space="0" w:color="auto"/>
                                          </w:divBdr>
                                          <w:divsChild>
                                            <w:div w:id="192963947">
                                              <w:marLeft w:val="0"/>
                                              <w:marRight w:val="0"/>
                                              <w:marTop w:val="0"/>
                                              <w:marBottom w:val="0"/>
                                              <w:divBdr>
                                                <w:top w:val="none" w:sz="0" w:space="0" w:color="auto"/>
                                                <w:left w:val="none" w:sz="0" w:space="0" w:color="auto"/>
                                                <w:bottom w:val="none" w:sz="0" w:space="0" w:color="auto"/>
                                                <w:right w:val="none" w:sz="0" w:space="0" w:color="auto"/>
                                              </w:divBdr>
                                              <w:divsChild>
                                                <w:div w:id="5708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765839">
      <w:bodyDiv w:val="1"/>
      <w:marLeft w:val="0"/>
      <w:marRight w:val="0"/>
      <w:marTop w:val="0"/>
      <w:marBottom w:val="0"/>
      <w:divBdr>
        <w:top w:val="none" w:sz="0" w:space="0" w:color="auto"/>
        <w:left w:val="none" w:sz="0" w:space="0" w:color="auto"/>
        <w:bottom w:val="none" w:sz="0" w:space="0" w:color="auto"/>
        <w:right w:val="none" w:sz="0" w:space="0" w:color="auto"/>
      </w:divBdr>
    </w:div>
    <w:div w:id="1592856904">
      <w:bodyDiv w:val="1"/>
      <w:marLeft w:val="0"/>
      <w:marRight w:val="0"/>
      <w:marTop w:val="0"/>
      <w:marBottom w:val="0"/>
      <w:divBdr>
        <w:top w:val="none" w:sz="0" w:space="0" w:color="auto"/>
        <w:left w:val="none" w:sz="0" w:space="0" w:color="auto"/>
        <w:bottom w:val="none" w:sz="0" w:space="0" w:color="auto"/>
        <w:right w:val="none" w:sz="0" w:space="0" w:color="auto"/>
      </w:divBdr>
    </w:div>
    <w:div w:id="1674840833">
      <w:bodyDiv w:val="1"/>
      <w:marLeft w:val="0"/>
      <w:marRight w:val="0"/>
      <w:marTop w:val="0"/>
      <w:marBottom w:val="0"/>
      <w:divBdr>
        <w:top w:val="none" w:sz="0" w:space="0" w:color="auto"/>
        <w:left w:val="none" w:sz="0" w:space="0" w:color="auto"/>
        <w:bottom w:val="none" w:sz="0" w:space="0" w:color="auto"/>
        <w:right w:val="none" w:sz="0" w:space="0" w:color="auto"/>
      </w:divBdr>
      <w:divsChild>
        <w:div w:id="1181892682">
          <w:marLeft w:val="547"/>
          <w:marRight w:val="0"/>
          <w:marTop w:val="106"/>
          <w:marBottom w:val="0"/>
          <w:divBdr>
            <w:top w:val="none" w:sz="0" w:space="0" w:color="auto"/>
            <w:left w:val="none" w:sz="0" w:space="0" w:color="auto"/>
            <w:bottom w:val="none" w:sz="0" w:space="0" w:color="auto"/>
            <w:right w:val="none" w:sz="0" w:space="0" w:color="auto"/>
          </w:divBdr>
        </w:div>
      </w:divsChild>
    </w:div>
    <w:div w:id="1692610147">
      <w:bodyDiv w:val="1"/>
      <w:marLeft w:val="0"/>
      <w:marRight w:val="0"/>
      <w:marTop w:val="0"/>
      <w:marBottom w:val="0"/>
      <w:divBdr>
        <w:top w:val="none" w:sz="0" w:space="0" w:color="auto"/>
        <w:left w:val="none" w:sz="0" w:space="0" w:color="auto"/>
        <w:bottom w:val="none" w:sz="0" w:space="0" w:color="auto"/>
        <w:right w:val="none" w:sz="0" w:space="0" w:color="auto"/>
      </w:divBdr>
    </w:div>
    <w:div w:id="1728725590">
      <w:bodyDiv w:val="1"/>
      <w:marLeft w:val="0"/>
      <w:marRight w:val="0"/>
      <w:marTop w:val="0"/>
      <w:marBottom w:val="0"/>
      <w:divBdr>
        <w:top w:val="none" w:sz="0" w:space="0" w:color="auto"/>
        <w:left w:val="none" w:sz="0" w:space="0" w:color="auto"/>
        <w:bottom w:val="none" w:sz="0" w:space="0" w:color="auto"/>
        <w:right w:val="none" w:sz="0" w:space="0" w:color="auto"/>
      </w:divBdr>
      <w:divsChild>
        <w:div w:id="971667664">
          <w:marLeft w:val="0"/>
          <w:marRight w:val="0"/>
          <w:marTop w:val="0"/>
          <w:marBottom w:val="0"/>
          <w:divBdr>
            <w:top w:val="none" w:sz="0" w:space="0" w:color="auto"/>
            <w:left w:val="none" w:sz="0" w:space="0" w:color="auto"/>
            <w:bottom w:val="none" w:sz="0" w:space="0" w:color="auto"/>
            <w:right w:val="none" w:sz="0" w:space="0" w:color="auto"/>
          </w:divBdr>
          <w:divsChild>
            <w:div w:id="1429882863">
              <w:marLeft w:val="0"/>
              <w:marRight w:val="0"/>
              <w:marTop w:val="0"/>
              <w:marBottom w:val="0"/>
              <w:divBdr>
                <w:top w:val="none" w:sz="0" w:space="0" w:color="auto"/>
                <w:left w:val="none" w:sz="0" w:space="0" w:color="auto"/>
                <w:bottom w:val="none" w:sz="0" w:space="0" w:color="auto"/>
                <w:right w:val="none" w:sz="0" w:space="0" w:color="auto"/>
              </w:divBdr>
              <w:divsChild>
                <w:div w:id="1461605250">
                  <w:marLeft w:val="0"/>
                  <w:marRight w:val="0"/>
                  <w:marTop w:val="0"/>
                  <w:marBottom w:val="0"/>
                  <w:divBdr>
                    <w:top w:val="none" w:sz="0" w:space="0" w:color="auto"/>
                    <w:left w:val="none" w:sz="0" w:space="0" w:color="auto"/>
                    <w:bottom w:val="none" w:sz="0" w:space="0" w:color="auto"/>
                    <w:right w:val="none" w:sz="0" w:space="0" w:color="auto"/>
                  </w:divBdr>
                  <w:divsChild>
                    <w:div w:id="11438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90922">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074574172">
      <w:bodyDiv w:val="1"/>
      <w:marLeft w:val="0"/>
      <w:marRight w:val="0"/>
      <w:marTop w:val="0"/>
      <w:marBottom w:val="0"/>
      <w:divBdr>
        <w:top w:val="none" w:sz="0" w:space="0" w:color="auto"/>
        <w:left w:val="none" w:sz="0" w:space="0" w:color="auto"/>
        <w:bottom w:val="none" w:sz="0" w:space="0" w:color="auto"/>
        <w:right w:val="none" w:sz="0" w:space="0" w:color="auto"/>
      </w:divBdr>
      <w:divsChild>
        <w:div w:id="194584354">
          <w:marLeft w:val="225"/>
          <w:marRight w:val="225"/>
          <w:marTop w:val="225"/>
          <w:marBottom w:val="450"/>
          <w:divBdr>
            <w:top w:val="none" w:sz="0" w:space="0" w:color="auto"/>
            <w:left w:val="none" w:sz="0" w:space="0" w:color="auto"/>
            <w:bottom w:val="none" w:sz="0" w:space="0" w:color="auto"/>
            <w:right w:val="none" w:sz="0" w:space="0" w:color="auto"/>
          </w:divBdr>
          <w:divsChild>
            <w:div w:id="2249961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05489757">
      <w:bodyDiv w:val="1"/>
      <w:marLeft w:val="0"/>
      <w:marRight w:val="0"/>
      <w:marTop w:val="0"/>
      <w:marBottom w:val="0"/>
      <w:divBdr>
        <w:top w:val="none" w:sz="0" w:space="0" w:color="auto"/>
        <w:left w:val="none" w:sz="0" w:space="0" w:color="auto"/>
        <w:bottom w:val="none" w:sz="0" w:space="0" w:color="auto"/>
        <w:right w:val="none" w:sz="0" w:space="0" w:color="auto"/>
      </w:divBdr>
      <w:divsChild>
        <w:div w:id="1750151154">
          <w:marLeft w:val="0"/>
          <w:marRight w:val="0"/>
          <w:marTop w:val="0"/>
          <w:marBottom w:val="0"/>
          <w:divBdr>
            <w:top w:val="none" w:sz="0" w:space="0" w:color="auto"/>
            <w:left w:val="none" w:sz="0" w:space="0" w:color="auto"/>
            <w:bottom w:val="none" w:sz="0" w:space="0" w:color="auto"/>
            <w:right w:val="none" w:sz="0" w:space="0" w:color="auto"/>
          </w:divBdr>
          <w:divsChild>
            <w:div w:id="704211571">
              <w:marLeft w:val="0"/>
              <w:marRight w:val="0"/>
              <w:marTop w:val="0"/>
              <w:marBottom w:val="0"/>
              <w:divBdr>
                <w:top w:val="none" w:sz="0" w:space="0" w:color="auto"/>
                <w:left w:val="none" w:sz="0" w:space="0" w:color="auto"/>
                <w:bottom w:val="none" w:sz="0" w:space="0" w:color="auto"/>
                <w:right w:val="none" w:sz="0" w:space="0" w:color="auto"/>
              </w:divBdr>
              <w:divsChild>
                <w:div w:id="10989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 w:id="2121604274">
      <w:bodyDiv w:val="1"/>
      <w:marLeft w:val="0"/>
      <w:marRight w:val="0"/>
      <w:marTop w:val="0"/>
      <w:marBottom w:val="0"/>
      <w:divBdr>
        <w:top w:val="none" w:sz="0" w:space="0" w:color="auto"/>
        <w:left w:val="none" w:sz="0" w:space="0" w:color="auto"/>
        <w:bottom w:val="none" w:sz="0" w:space="0" w:color="auto"/>
        <w:right w:val="none" w:sz="0" w:space="0" w:color="auto"/>
      </w:divBdr>
      <w:divsChild>
        <w:div w:id="2101024422">
          <w:marLeft w:val="0"/>
          <w:marRight w:val="0"/>
          <w:marTop w:val="0"/>
          <w:marBottom w:val="0"/>
          <w:divBdr>
            <w:top w:val="none" w:sz="0" w:space="0" w:color="auto"/>
            <w:left w:val="none" w:sz="0" w:space="0" w:color="auto"/>
            <w:bottom w:val="none" w:sz="0" w:space="0" w:color="auto"/>
            <w:right w:val="none" w:sz="0" w:space="0" w:color="auto"/>
          </w:divBdr>
          <w:divsChild>
            <w:div w:id="1497964926">
              <w:marLeft w:val="0"/>
              <w:marRight w:val="0"/>
              <w:marTop w:val="0"/>
              <w:marBottom w:val="0"/>
              <w:divBdr>
                <w:top w:val="none" w:sz="0" w:space="0" w:color="auto"/>
                <w:left w:val="none" w:sz="0" w:space="0" w:color="auto"/>
                <w:bottom w:val="none" w:sz="0" w:space="0" w:color="auto"/>
                <w:right w:val="none" w:sz="0" w:space="0" w:color="auto"/>
              </w:divBdr>
              <w:divsChild>
                <w:div w:id="17118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chart" Target="charts/chart3.xml"/><Relationship Id="rId42" Type="http://schemas.openxmlformats.org/officeDocument/2006/relationships/hyperlink" Target="http://www.businessinfo.cz/cs/clanky/hlavni-makroekonomicke-ukazatele-cr-3112.html" TargetMode="External"/><Relationship Id="rId47" Type="http://schemas.openxmlformats.org/officeDocument/2006/relationships/hyperlink" Target="http://epp.eurostat.ec.europa.eu/tgm/table.do?tab=table&amp;language=en&amp;pcode=teilm020&amp;tableSelection=1&amp;plugin=1" TargetMode="External"/><Relationship Id="rId63" Type="http://schemas.openxmlformats.org/officeDocument/2006/relationships/image" Target="media/image11.jpeg"/><Relationship Id="rId6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hyperlink" Target="http://ec.europa.eu/europe2020/pdf/targets_cs.pdf" TargetMode="External"/><Relationship Id="rId40" Type="http://schemas.openxmlformats.org/officeDocument/2006/relationships/hyperlink" Target="http://www.czso.cz/csu/redakce.nsf/i/evropsky_srovnavaci_program" TargetMode="External"/><Relationship Id="rId45" Type="http://schemas.openxmlformats.org/officeDocument/2006/relationships/hyperlink" Target="http://epp.eurostat.ec.europa.eu/tgm/table.do?tab=table&amp;init=1&amp;plugin=1&amp;language=en&amp;pcode=tec00114" TargetMode="External"/><Relationship Id="rId53" Type="http://schemas.openxmlformats.org/officeDocument/2006/relationships/hyperlink" Target="http://epp.eurostat.ec.europa.eu/tgm/table.do?tab=table&amp;init=1&amp;language=en&amp;pcode=tsdde420&amp;plugin=1" TargetMode="External"/><Relationship Id="rId58" Type="http://schemas.openxmlformats.org/officeDocument/2006/relationships/image" Target="media/image6.jpeg"/><Relationship Id="rId66"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footer" Target="footer5.xml"/><Relationship Id="rId30" Type="http://schemas.openxmlformats.org/officeDocument/2006/relationships/chart" Target="charts/chart8.xml"/><Relationship Id="rId35" Type="http://schemas.openxmlformats.org/officeDocument/2006/relationships/hyperlink" Target="http://ec.europa.eu/europe2020/europe-2020-in-your-country/ceska-republika/country-specific-recommendations/index_cs.htm" TargetMode="External"/><Relationship Id="rId43" Type="http://schemas.openxmlformats.org/officeDocument/2006/relationships/hyperlink" Target="http://www.mzv.cz/jnp/cz/encyklopedie_statu/evropa/polsko/ekonomika/ekonomicka_charakteristika_zeme.html" TargetMode="External"/><Relationship Id="rId48" Type="http://schemas.openxmlformats.org/officeDocument/2006/relationships/hyperlink" Target="http://epp.eurostat.ec.europa.eu/tgm/table.do?tab=table&amp;language=en&amp;pcode=tsdec420&amp;tableSelection=3&amp;footnotes=yes&amp;labeling=labels&amp;plugin=1"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hyperlink" Target="http://epp.eurostat.ec.europa.eu/tgm/table.do?tab=table&amp;init=1&amp;language=en&amp;pcode=tsdde100&amp;plugin=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chart" Target="charts/chart11.xml"/><Relationship Id="rId38" Type="http://schemas.openxmlformats.org/officeDocument/2006/relationships/hyperlink" Target="http://eur-lex.europa.eu/LexUriServ/LexUriServ.do?uri=COM:2010:2020:FIN:CS:PDF" TargetMode="External"/><Relationship Id="rId46" Type="http://schemas.openxmlformats.org/officeDocument/2006/relationships/hyperlink" Target="http://epp.eurostat.ec.europa.eu/tgm/table.do?tab=table&amp;init=1&amp;plugin=1&amp;language=en&amp;pcode=tec00118"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eader" Target="header6.xml"/><Relationship Id="rId41" Type="http://schemas.openxmlformats.org/officeDocument/2006/relationships/hyperlink" Target="http://europa.eu/index_cs.htm" TargetMode="Externa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header" Target="header9.xml"/><Relationship Id="rId36" Type="http://schemas.openxmlformats.org/officeDocument/2006/relationships/hyperlink" Target="http://ec.europa.eu/europe2020/europe-2020-in-your-country/polska/country-specific-recommendations/index_en.htm" TargetMode="External"/><Relationship Id="rId49" Type="http://schemas.openxmlformats.org/officeDocument/2006/relationships/hyperlink" Target="http://epp.eurostat.ec.europa.eu/tgm/table.do?tab=table&amp;language=en&amp;pcode=teina225" TargetMode="External"/><Relationship Id="rId57" Type="http://schemas.openxmlformats.org/officeDocument/2006/relationships/image" Target="media/image5.jpeg"/><Relationship Id="rId10" Type="http://schemas.openxmlformats.org/officeDocument/2006/relationships/header" Target="header2.xml"/><Relationship Id="rId31" Type="http://schemas.openxmlformats.org/officeDocument/2006/relationships/chart" Target="charts/chart9.xml"/><Relationship Id="rId44" Type="http://schemas.openxmlformats.org/officeDocument/2006/relationships/hyperlink" Target="http://epp.eurostat.ec.europa.eu/tgm/table.do?tab=table&amp;init=1&amp;plugin=1&amp;language=en&amp;pcode=tec00115" TargetMode="External"/><Relationship Id="rId52" Type="http://schemas.openxmlformats.org/officeDocument/2006/relationships/hyperlink" Target="http://epp.eurostat.ec.europa.eu/tgm/table.do?tab=table&amp;init=1&amp;language=en&amp;pcode=tec00117&amp;plugin=1"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www.cnb.cz/cs/statistika/inflace/" TargetMode="External"/><Relationship Id="rId34" Type="http://schemas.openxmlformats.org/officeDocument/2006/relationships/chart" Target="charts/chart12.xml"/><Relationship Id="rId50" Type="http://schemas.openxmlformats.org/officeDocument/2006/relationships/hyperlink" Target="http://epp.eurostat.ec.europa.eu/portal/page/portal/product_details/dataset?p_product_code=TPS00066" TargetMode="External"/><Relationship Id="rId55"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okumenty\Dokumenty%20Petr\V&#353;em\sablony\seminarka\final\seminarni%20prace%202%20-%20jen%20telo%20textu.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hart%20in%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Chart%20in%20Microsoft%20Office%20Word"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Chart%20in%20Microsoft%20Office%20Word"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Chart%20in%20Microsoft%20Office%20Word"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Chart%20i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Chart%20in%20Microsoft%20Office%20Word"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Chart%20in%20Microsoft%20Office%20Word"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a:t>Tempo růstu reálného HDP</a:t>
            </a:r>
            <a:endParaRPr lang="en-US"/>
          </a:p>
        </c:rich>
      </c:tx>
      <c:overlay val="0"/>
    </c:title>
    <c:autoTitleDeleted val="0"/>
    <c:plotArea>
      <c:layout/>
      <c:lineChart>
        <c:grouping val="standard"/>
        <c:varyColors val="0"/>
        <c:ser>
          <c:idx val="0"/>
          <c:order val="0"/>
          <c:tx>
            <c:strRef>
              <c:f>'[Chart in Microsoft Office Word]Sheet1'!$A$2</c:f>
              <c:strCache>
                <c:ptCount val="1"/>
                <c:pt idx="0">
                  <c:v>Polsko</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5.0999999999999996</c:v>
                </c:pt>
                <c:pt idx="1">
                  <c:v>1.6</c:v>
                </c:pt>
                <c:pt idx="2">
                  <c:v>3.9</c:v>
                </c:pt>
                <c:pt idx="3">
                  <c:v>4.5</c:v>
                </c:pt>
                <c:pt idx="4">
                  <c:v>2</c:v>
                </c:pt>
                <c:pt idx="5">
                  <c:v>1.6</c:v>
                </c:pt>
              </c:numCache>
            </c:numRef>
          </c:val>
          <c:smooth val="0"/>
        </c:ser>
        <c:ser>
          <c:idx val="1"/>
          <c:order val="1"/>
          <c:tx>
            <c:strRef>
              <c:f>'[Chart in Microsoft Office Word]Sheet1'!$A$3</c:f>
              <c:strCache>
                <c:ptCount val="1"/>
                <c:pt idx="0">
                  <c:v>ČR</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3.1</c:v>
                </c:pt>
                <c:pt idx="1">
                  <c:v>-4.5</c:v>
                </c:pt>
                <c:pt idx="2">
                  <c:v>2.5</c:v>
                </c:pt>
                <c:pt idx="3">
                  <c:v>1.8</c:v>
                </c:pt>
                <c:pt idx="4">
                  <c:v>-1</c:v>
                </c:pt>
                <c:pt idx="5">
                  <c:v>-0.9</c:v>
                </c:pt>
              </c:numCache>
            </c:numRef>
          </c:val>
          <c:smooth val="0"/>
        </c:ser>
        <c:ser>
          <c:idx val="2"/>
          <c:order val="2"/>
          <c:tx>
            <c:strRef>
              <c:f>'[Chart in Microsoft Office Word]Sheet1'!$A$4</c:f>
              <c:strCache>
                <c:ptCount val="1"/>
                <c:pt idx="0">
                  <c:v>Euro 28</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0.4</c:v>
                </c:pt>
                <c:pt idx="1">
                  <c:v>-4.5</c:v>
                </c:pt>
                <c:pt idx="2">
                  <c:v>2</c:v>
                </c:pt>
                <c:pt idx="3">
                  <c:v>1.6</c:v>
                </c:pt>
                <c:pt idx="4">
                  <c:v>-0.4</c:v>
                </c:pt>
                <c:pt idx="5">
                  <c:v>0.1</c:v>
                </c:pt>
              </c:numCache>
            </c:numRef>
          </c:val>
          <c:smooth val="0"/>
        </c:ser>
        <c:dLbls>
          <c:showLegendKey val="0"/>
          <c:showVal val="0"/>
          <c:showCatName val="0"/>
          <c:showSerName val="0"/>
          <c:showPercent val="0"/>
          <c:showBubbleSize val="0"/>
        </c:dLbls>
        <c:smooth val="0"/>
        <c:axId val="-2034314960"/>
        <c:axId val="-2034309520"/>
      </c:lineChart>
      <c:catAx>
        <c:axId val="-2034314960"/>
        <c:scaling>
          <c:orientation val="minMax"/>
        </c:scaling>
        <c:delete val="0"/>
        <c:axPos val="b"/>
        <c:numFmt formatCode="General" sourceLinked="0"/>
        <c:majorTickMark val="none"/>
        <c:minorTickMark val="none"/>
        <c:tickLblPos val="nextTo"/>
        <c:crossAx val="-2034309520"/>
        <c:crosses val="autoZero"/>
        <c:auto val="1"/>
        <c:lblAlgn val="ctr"/>
        <c:lblOffset val="100"/>
        <c:noMultiLvlLbl val="0"/>
      </c:catAx>
      <c:valAx>
        <c:axId val="-2034309520"/>
        <c:scaling>
          <c:orientation val="minMax"/>
        </c:scaling>
        <c:delete val="0"/>
        <c:axPos val="l"/>
        <c:majorGridlines/>
        <c:numFmt formatCode="General" sourceLinked="1"/>
        <c:majorTickMark val="none"/>
        <c:minorTickMark val="none"/>
        <c:tickLblPos val="nextTo"/>
        <c:crossAx val="-2034314960"/>
        <c:crosses val="autoZero"/>
        <c:crossBetween val="between"/>
      </c:valAx>
    </c:plotArea>
    <c:legend>
      <c:legendPos val="r"/>
      <c:legendEntry>
        <c:idx val="2"/>
        <c:txPr>
          <a:bodyPr/>
          <a:lstStyle/>
          <a:p>
            <a:pPr>
              <a:defRPr>
                <a:solidFill>
                  <a:schemeClr val="bg1"/>
                </a:solidFill>
              </a:defRPr>
            </a:pPr>
            <a:endParaRPr lang="cs-CZ"/>
          </a:p>
        </c:txPr>
      </c:legendEntry>
      <c:layout>
        <c:manualLayout>
          <c:xMode val="edge"/>
          <c:yMode val="edge"/>
          <c:x val="0.81821745764846199"/>
          <c:y val="0.41185029230278503"/>
          <c:w val="0.148856860319553"/>
          <c:h val="0.28212943178403299"/>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sz="1800" b="1" i="0" u="none" strike="noStrike" baseline="0">
                <a:effectLst/>
              </a:rPr>
              <a:t>Míra zaměstnanosti starších pracovníků podle pohlaví </a:t>
            </a:r>
            <a:endParaRPr lang="en-US"/>
          </a:p>
        </c:rich>
      </c:tx>
      <c:overlay val="0"/>
    </c:title>
    <c:autoTitleDeleted val="0"/>
    <c:plotArea>
      <c:layout/>
      <c:lineChart>
        <c:grouping val="standard"/>
        <c:varyColors val="0"/>
        <c:ser>
          <c:idx val="0"/>
          <c:order val="0"/>
          <c:tx>
            <c:strRef>
              <c:f>'[Chart in Microsoft Office Word]Sheet1'!$A$2</c:f>
              <c:strCache>
                <c:ptCount val="1"/>
                <c:pt idx="0">
                  <c:v>Polsko- muži</c:v>
                </c:pt>
              </c:strCache>
            </c:strRef>
          </c:tx>
          <c:spPr>
            <a:ln>
              <a:solidFill>
                <a:schemeClr val="accent5">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44.1</c:v>
                </c:pt>
                <c:pt idx="1">
                  <c:v>44.3</c:v>
                </c:pt>
                <c:pt idx="2">
                  <c:v>45.2</c:v>
                </c:pt>
                <c:pt idx="3">
                  <c:v>47.8</c:v>
                </c:pt>
                <c:pt idx="4">
                  <c:v>49.3</c:v>
                </c:pt>
                <c:pt idx="5">
                  <c:v>51.3</c:v>
                </c:pt>
              </c:numCache>
            </c:numRef>
          </c:val>
          <c:smooth val="0"/>
        </c:ser>
        <c:ser>
          <c:idx val="1"/>
          <c:order val="1"/>
          <c:tx>
            <c:strRef>
              <c:f>'[Chart in Microsoft Office Word]Sheet1'!$A$3</c:f>
              <c:strCache>
                <c:ptCount val="1"/>
                <c:pt idx="0">
                  <c:v>ČR- muži</c:v>
                </c:pt>
              </c:strCache>
            </c:strRef>
          </c:tx>
          <c:spPr>
            <a:ln>
              <a:solidFill>
                <a:schemeClr val="accent6">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61.9</c:v>
                </c:pt>
                <c:pt idx="1">
                  <c:v>59.6</c:v>
                </c:pt>
                <c:pt idx="2">
                  <c:v>58.4</c:v>
                </c:pt>
                <c:pt idx="3">
                  <c:v>58.9</c:v>
                </c:pt>
                <c:pt idx="4">
                  <c:v>60.3</c:v>
                </c:pt>
                <c:pt idx="5">
                  <c:v>62.5</c:v>
                </c:pt>
              </c:numCache>
            </c:numRef>
          </c:val>
          <c:smooth val="0"/>
        </c:ser>
        <c:ser>
          <c:idx val="2"/>
          <c:order val="2"/>
          <c:tx>
            <c:strRef>
              <c:f>'[Chart in Microsoft Office Word]Sheet1'!$A$4</c:f>
              <c:strCache>
                <c:ptCount val="1"/>
                <c:pt idx="0">
                  <c:v>EU 28- muži</c:v>
                </c:pt>
              </c:strCache>
            </c:strRef>
          </c:tx>
          <c:spPr>
            <a:ln>
              <a:solidFill>
                <a:schemeClr val="accent4">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54.9</c:v>
                </c:pt>
                <c:pt idx="1">
                  <c:v>54.7</c:v>
                </c:pt>
                <c:pt idx="2">
                  <c:v>54.5</c:v>
                </c:pt>
                <c:pt idx="3">
                  <c:v>55.1</c:v>
                </c:pt>
                <c:pt idx="4">
                  <c:v>56.3</c:v>
                </c:pt>
                <c:pt idx="5">
                  <c:v>57.5</c:v>
                </c:pt>
              </c:numCache>
            </c:numRef>
          </c:val>
          <c:smooth val="0"/>
        </c:ser>
        <c:ser>
          <c:idx val="3"/>
          <c:order val="3"/>
          <c:tx>
            <c:strRef>
              <c:f>'[Chart in Microsoft Office Word]Sheet1'!$A$5</c:f>
              <c:strCache>
                <c:ptCount val="1"/>
                <c:pt idx="0">
                  <c:v>Polsko- ženy</c:v>
                </c:pt>
              </c:strCache>
            </c:strRef>
          </c:tx>
          <c:spPr>
            <a:ln>
              <a:solidFill>
                <a:schemeClr val="accent5"/>
              </a:solidFill>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Word]Sheet1'!$B$5:$G$5</c:f>
              <c:numCache>
                <c:formatCode>General</c:formatCode>
                <c:ptCount val="6"/>
                <c:pt idx="0">
                  <c:v>20.7</c:v>
                </c:pt>
                <c:pt idx="1">
                  <c:v>21.9</c:v>
                </c:pt>
                <c:pt idx="2">
                  <c:v>24.2</c:v>
                </c:pt>
                <c:pt idx="3">
                  <c:v>27.2</c:v>
                </c:pt>
                <c:pt idx="4">
                  <c:v>29.2</c:v>
                </c:pt>
                <c:pt idx="5">
                  <c:v>31</c:v>
                </c:pt>
              </c:numCache>
            </c:numRef>
          </c:val>
          <c:smooth val="0"/>
        </c:ser>
        <c:ser>
          <c:idx val="4"/>
          <c:order val="4"/>
          <c:tx>
            <c:strRef>
              <c:f>'[Chart in Microsoft Office Word]Sheet1'!$A$6</c:f>
              <c:strCache>
                <c:ptCount val="1"/>
                <c:pt idx="0">
                  <c:v>ČR- ženy</c:v>
                </c:pt>
              </c:strCache>
            </c:strRef>
          </c:tx>
          <c:spPr>
            <a:ln>
              <a:solidFill>
                <a:schemeClr val="accent6"/>
              </a:solidFill>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Word]Sheet1'!$B$6:$G$6</c:f>
              <c:numCache>
                <c:formatCode>General</c:formatCode>
                <c:ptCount val="6"/>
                <c:pt idx="0">
                  <c:v>34.4</c:v>
                </c:pt>
                <c:pt idx="1">
                  <c:v>35</c:v>
                </c:pt>
                <c:pt idx="2">
                  <c:v>35.5</c:v>
                </c:pt>
                <c:pt idx="3">
                  <c:v>37.200000000000003</c:v>
                </c:pt>
                <c:pt idx="4">
                  <c:v>39</c:v>
                </c:pt>
                <c:pt idx="5">
                  <c:v>41.4</c:v>
                </c:pt>
              </c:numCache>
            </c:numRef>
          </c:val>
          <c:smooth val="0"/>
        </c:ser>
        <c:ser>
          <c:idx val="5"/>
          <c:order val="5"/>
          <c:tx>
            <c:strRef>
              <c:f>'[Chart in Microsoft Office Word]Sheet1'!$A$7</c:f>
              <c:strCache>
                <c:ptCount val="1"/>
                <c:pt idx="0">
                  <c:v>EU 28- ženy</c:v>
                </c:pt>
              </c:strCache>
            </c:strRef>
          </c:tx>
          <c:spPr>
            <a:ln>
              <a:solidFill>
                <a:schemeClr val="accent4"/>
              </a:solidFill>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Word]Sheet1'!$B$7:$G$7</c:f>
              <c:numCache>
                <c:formatCode>General</c:formatCode>
                <c:ptCount val="6"/>
                <c:pt idx="0">
                  <c:v>36.700000000000003</c:v>
                </c:pt>
                <c:pt idx="1">
                  <c:v>37.700000000000003</c:v>
                </c:pt>
                <c:pt idx="2">
                  <c:v>38.5</c:v>
                </c:pt>
                <c:pt idx="3">
                  <c:v>40.1</c:v>
                </c:pt>
                <c:pt idx="4">
                  <c:v>41.7</c:v>
                </c:pt>
                <c:pt idx="5">
                  <c:v>43.3</c:v>
                </c:pt>
              </c:numCache>
            </c:numRef>
          </c:val>
          <c:smooth val="0"/>
        </c:ser>
        <c:dLbls>
          <c:showLegendKey val="0"/>
          <c:showVal val="0"/>
          <c:showCatName val="0"/>
          <c:showSerName val="0"/>
          <c:showPercent val="0"/>
          <c:showBubbleSize val="0"/>
        </c:dLbls>
        <c:smooth val="0"/>
        <c:axId val="-621472160"/>
        <c:axId val="-621477600"/>
      </c:lineChart>
      <c:catAx>
        <c:axId val="-621472160"/>
        <c:scaling>
          <c:orientation val="minMax"/>
        </c:scaling>
        <c:delete val="0"/>
        <c:axPos val="b"/>
        <c:numFmt formatCode="General" sourceLinked="0"/>
        <c:majorTickMark val="none"/>
        <c:minorTickMark val="none"/>
        <c:tickLblPos val="nextTo"/>
        <c:crossAx val="-621477600"/>
        <c:crosses val="autoZero"/>
        <c:auto val="1"/>
        <c:lblAlgn val="ctr"/>
        <c:lblOffset val="100"/>
        <c:noMultiLvlLbl val="0"/>
      </c:catAx>
      <c:valAx>
        <c:axId val="-621477600"/>
        <c:scaling>
          <c:orientation val="minMax"/>
        </c:scaling>
        <c:delete val="0"/>
        <c:axPos val="l"/>
        <c:majorGridlines/>
        <c:numFmt formatCode="General" sourceLinked="1"/>
        <c:majorTickMark val="none"/>
        <c:minorTickMark val="none"/>
        <c:tickLblPos val="nextTo"/>
        <c:crossAx val="-62147216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k-SK" sz="1800">
                <a:effectLst/>
              </a:rPr>
              <a:t>Produktivita práce na jednu odpracovanou hodinu, EU (28)= 100 </a:t>
            </a:r>
            <a:endParaRPr lang="sk-SK">
              <a:effectLst/>
            </a:endParaRPr>
          </a:p>
        </c:rich>
      </c:tx>
      <c:overlay val="0"/>
    </c:title>
    <c:autoTitleDeleted val="0"/>
    <c:plotArea>
      <c:layout/>
      <c:lineChart>
        <c:grouping val="standard"/>
        <c:varyColors val="0"/>
        <c:ser>
          <c:idx val="0"/>
          <c:order val="0"/>
          <c:tx>
            <c:strRef>
              <c:f>'[Chart in Microsoft Office Word]Sheet1'!$A$2</c:f>
              <c:strCache>
                <c:ptCount val="1"/>
                <c:pt idx="0">
                  <c:v>Polsko</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50.1</c:v>
                </c:pt>
                <c:pt idx="1">
                  <c:v>52.4</c:v>
                </c:pt>
                <c:pt idx="2">
                  <c:v>56.3</c:v>
                </c:pt>
                <c:pt idx="3">
                  <c:v>58.1</c:v>
                </c:pt>
                <c:pt idx="4">
                  <c:v>59.3</c:v>
                </c:pt>
                <c:pt idx="5">
                  <c:v>59.9</c:v>
                </c:pt>
              </c:numCache>
            </c:numRef>
          </c:val>
          <c:smooth val="0"/>
        </c:ser>
        <c:ser>
          <c:idx val="1"/>
          <c:order val="1"/>
          <c:tx>
            <c:strRef>
              <c:f>'[Chart in Microsoft Office Word]Sheet1'!$A$3</c:f>
              <c:strCache>
                <c:ptCount val="1"/>
                <c:pt idx="0">
                  <c:v>ČR</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68.400000000000006</c:v>
                </c:pt>
                <c:pt idx="1">
                  <c:v>70.099999999999994</c:v>
                </c:pt>
                <c:pt idx="2">
                  <c:v>67.599999999999994</c:v>
                </c:pt>
                <c:pt idx="3">
                  <c:v>67.900000000000006</c:v>
                </c:pt>
                <c:pt idx="4">
                  <c:v>67.3</c:v>
                </c:pt>
                <c:pt idx="5">
                  <c:v>66.599999999999994</c:v>
                </c:pt>
              </c:numCache>
            </c:numRef>
          </c:val>
          <c:smooth val="0"/>
        </c:ser>
        <c:ser>
          <c:idx val="2"/>
          <c:order val="2"/>
          <c:tx>
            <c:strRef>
              <c:f>'[Chart in Microsoft Office Word]Sheet1'!$A$4</c:f>
              <c:strCache>
                <c:ptCount val="1"/>
                <c:pt idx="0">
                  <c:v>EU (28)</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99.9</c:v>
                </c:pt>
                <c:pt idx="1">
                  <c:v>99.9</c:v>
                </c:pt>
                <c:pt idx="2">
                  <c:v>99.9</c:v>
                </c:pt>
                <c:pt idx="3">
                  <c:v>99.9</c:v>
                </c:pt>
                <c:pt idx="4">
                  <c:v>99.9</c:v>
                </c:pt>
                <c:pt idx="5">
                  <c:v>99.9</c:v>
                </c:pt>
              </c:numCache>
            </c:numRef>
          </c:val>
          <c:smooth val="0"/>
        </c:ser>
        <c:dLbls>
          <c:showLegendKey val="0"/>
          <c:showVal val="0"/>
          <c:showCatName val="0"/>
          <c:showSerName val="0"/>
          <c:showPercent val="0"/>
          <c:showBubbleSize val="0"/>
        </c:dLbls>
        <c:smooth val="0"/>
        <c:axId val="-507786016"/>
        <c:axId val="-507781664"/>
      </c:lineChart>
      <c:catAx>
        <c:axId val="-507786016"/>
        <c:scaling>
          <c:orientation val="minMax"/>
        </c:scaling>
        <c:delete val="0"/>
        <c:axPos val="b"/>
        <c:numFmt formatCode="General" sourceLinked="0"/>
        <c:majorTickMark val="none"/>
        <c:minorTickMark val="none"/>
        <c:tickLblPos val="nextTo"/>
        <c:crossAx val="-507781664"/>
        <c:crosses val="autoZero"/>
        <c:auto val="1"/>
        <c:lblAlgn val="ctr"/>
        <c:lblOffset val="100"/>
        <c:noMultiLvlLbl val="0"/>
      </c:catAx>
      <c:valAx>
        <c:axId val="-507781664"/>
        <c:scaling>
          <c:orientation val="minMax"/>
        </c:scaling>
        <c:delete val="0"/>
        <c:axPos val="l"/>
        <c:majorGridlines/>
        <c:numFmt formatCode="General" sourceLinked="1"/>
        <c:majorTickMark val="none"/>
        <c:minorTickMark val="none"/>
        <c:tickLblPos val="nextTo"/>
        <c:crossAx val="-50778601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sz="1800" b="1" i="0" u="none" strike="noStrike" baseline="0">
                <a:effectLst/>
              </a:rPr>
              <a:t>Doba trvání pracovního života podle pohlaví </a:t>
            </a:r>
            <a:endParaRPr lang="en-US"/>
          </a:p>
        </c:rich>
      </c:tx>
      <c:overlay val="0"/>
    </c:title>
    <c:autoTitleDeleted val="0"/>
    <c:plotArea>
      <c:layout/>
      <c:barChart>
        <c:barDir val="col"/>
        <c:grouping val="clustered"/>
        <c:varyColors val="0"/>
        <c:ser>
          <c:idx val="0"/>
          <c:order val="0"/>
          <c:tx>
            <c:strRef>
              <c:f>'[Chart in Microsoft Office Word]Sheet1'!$A$2</c:f>
              <c:strCache>
                <c:ptCount val="1"/>
                <c:pt idx="0">
                  <c:v>Polsko- muži</c:v>
                </c:pt>
              </c:strCache>
            </c:strRef>
          </c:tx>
          <c:spPr>
            <a:pattFill prst="dkHorz">
              <a:fgClr>
                <a:schemeClr val="accent4">
                  <a:lumMod val="75000"/>
                </a:schemeClr>
              </a:fgClr>
              <a:bgClr>
                <a:prstClr val="white"/>
              </a:bgClr>
            </a:pattFill>
          </c:spPr>
          <c:invertIfNegative val="0"/>
          <c:cat>
            <c:strRef>
              <c:f>'[Chart in Microsoft Office Word]Sheet1'!$B$1:$F$1</c:f>
              <c:strCache>
                <c:ptCount val="5"/>
                <c:pt idx="0">
                  <c:v>2008</c:v>
                </c:pt>
                <c:pt idx="1">
                  <c:v>2009</c:v>
                </c:pt>
                <c:pt idx="2">
                  <c:v>2010</c:v>
                </c:pt>
                <c:pt idx="3">
                  <c:v>2011</c:v>
                </c:pt>
                <c:pt idx="4">
                  <c:v>2012</c:v>
                </c:pt>
              </c:strCache>
            </c:strRef>
          </c:cat>
          <c:val>
            <c:numRef>
              <c:f>'[Chart in Microsoft Office Word]Sheet1'!$B$2:$F$2</c:f>
              <c:numCache>
                <c:formatCode>General</c:formatCode>
                <c:ptCount val="5"/>
                <c:pt idx="0">
                  <c:v>33.200000000000003</c:v>
                </c:pt>
                <c:pt idx="1">
                  <c:v>33.700000000000003</c:v>
                </c:pt>
                <c:pt idx="2">
                  <c:v>34.1</c:v>
                </c:pt>
                <c:pt idx="3">
                  <c:v>34.299999999999997</c:v>
                </c:pt>
                <c:pt idx="4">
                  <c:v>34.6</c:v>
                </c:pt>
              </c:numCache>
            </c:numRef>
          </c:val>
        </c:ser>
        <c:ser>
          <c:idx val="1"/>
          <c:order val="1"/>
          <c:tx>
            <c:strRef>
              <c:f>'[Chart in Microsoft Office Word]Sheet1'!$A$3</c:f>
              <c:strCache>
                <c:ptCount val="1"/>
                <c:pt idx="0">
                  <c:v>ČR- muži</c:v>
                </c:pt>
              </c:strCache>
            </c:strRef>
          </c:tx>
          <c:spPr>
            <a:pattFill prst="dkHorz">
              <a:fgClr>
                <a:schemeClr val="accent5">
                  <a:lumMod val="75000"/>
                </a:schemeClr>
              </a:fgClr>
              <a:bgClr>
                <a:prstClr val="white"/>
              </a:bgClr>
            </a:pattFill>
          </c:spPr>
          <c:invertIfNegative val="0"/>
          <c:cat>
            <c:strRef>
              <c:f>'[Chart in Microsoft Office Word]Sheet1'!$B$1:$F$1</c:f>
              <c:strCache>
                <c:ptCount val="5"/>
                <c:pt idx="0">
                  <c:v>2008</c:v>
                </c:pt>
                <c:pt idx="1">
                  <c:v>2009</c:v>
                </c:pt>
                <c:pt idx="2">
                  <c:v>2010</c:v>
                </c:pt>
                <c:pt idx="3">
                  <c:v>2011</c:v>
                </c:pt>
                <c:pt idx="4">
                  <c:v>2012</c:v>
                </c:pt>
              </c:strCache>
            </c:strRef>
          </c:cat>
          <c:val>
            <c:numRef>
              <c:f>'[Chart in Microsoft Office Word]Sheet1'!$B$3:$F$3</c:f>
              <c:numCache>
                <c:formatCode>General</c:formatCode>
                <c:ptCount val="5"/>
                <c:pt idx="0">
                  <c:v>37.1</c:v>
                </c:pt>
                <c:pt idx="1">
                  <c:v>37.299999999999997</c:v>
                </c:pt>
                <c:pt idx="2">
                  <c:v>37.299999999999997</c:v>
                </c:pt>
                <c:pt idx="3">
                  <c:v>37.200000000000003</c:v>
                </c:pt>
                <c:pt idx="4">
                  <c:v>37.5</c:v>
                </c:pt>
              </c:numCache>
            </c:numRef>
          </c:val>
        </c:ser>
        <c:ser>
          <c:idx val="2"/>
          <c:order val="2"/>
          <c:tx>
            <c:strRef>
              <c:f>'[Chart in Microsoft Office Word]Sheet1'!$A$4</c:f>
              <c:strCache>
                <c:ptCount val="1"/>
                <c:pt idx="0">
                  <c:v>EU (28)- muži</c:v>
                </c:pt>
              </c:strCache>
            </c:strRef>
          </c:tx>
          <c:spPr>
            <a:pattFill prst="dkHorz">
              <a:fgClr>
                <a:schemeClr val="accent6">
                  <a:lumMod val="75000"/>
                </a:schemeClr>
              </a:fgClr>
              <a:bgClr>
                <a:prstClr val="white"/>
              </a:bgClr>
            </a:pattFill>
          </c:spPr>
          <c:invertIfNegative val="0"/>
          <c:cat>
            <c:strRef>
              <c:f>'[Chart in Microsoft Office Word]Sheet1'!$B$1:$F$1</c:f>
              <c:strCache>
                <c:ptCount val="5"/>
                <c:pt idx="0">
                  <c:v>2008</c:v>
                </c:pt>
                <c:pt idx="1">
                  <c:v>2009</c:v>
                </c:pt>
                <c:pt idx="2">
                  <c:v>2010</c:v>
                </c:pt>
                <c:pt idx="3">
                  <c:v>2011</c:v>
                </c:pt>
                <c:pt idx="4">
                  <c:v>2012</c:v>
                </c:pt>
              </c:strCache>
            </c:strRef>
          </c:cat>
          <c:val>
            <c:numRef>
              <c:f>'[Chart in Microsoft Office Word]Sheet1'!$B$4:$F$4</c:f>
              <c:numCache>
                <c:formatCode>General</c:formatCode>
                <c:ptCount val="5"/>
                <c:pt idx="0">
                  <c:v>37.299999999999997</c:v>
                </c:pt>
                <c:pt idx="1">
                  <c:v>37.299999999999997</c:v>
                </c:pt>
                <c:pt idx="2">
                  <c:v>37.299999999999997</c:v>
                </c:pt>
                <c:pt idx="3">
                  <c:v>37.4</c:v>
                </c:pt>
                <c:pt idx="4">
                  <c:v>37.6</c:v>
                </c:pt>
              </c:numCache>
            </c:numRef>
          </c:val>
        </c:ser>
        <c:ser>
          <c:idx val="3"/>
          <c:order val="3"/>
          <c:tx>
            <c:strRef>
              <c:f>'[Chart in Microsoft Office Word]Sheet1'!$A$5</c:f>
              <c:strCache>
                <c:ptCount val="1"/>
                <c:pt idx="0">
                  <c:v>Polsko- ženy</c:v>
                </c:pt>
              </c:strCache>
            </c:strRef>
          </c:tx>
          <c:invertIfNegative val="0"/>
          <c:cat>
            <c:strRef>
              <c:f>'[Chart in Microsoft Office Word]Sheet1'!$B$1:$F$1</c:f>
              <c:strCache>
                <c:ptCount val="5"/>
                <c:pt idx="0">
                  <c:v>2008</c:v>
                </c:pt>
                <c:pt idx="1">
                  <c:v>2009</c:v>
                </c:pt>
                <c:pt idx="2">
                  <c:v>2010</c:v>
                </c:pt>
                <c:pt idx="3">
                  <c:v>2011</c:v>
                </c:pt>
                <c:pt idx="4">
                  <c:v>2012</c:v>
                </c:pt>
              </c:strCache>
            </c:strRef>
          </c:cat>
          <c:val>
            <c:numRef>
              <c:f>'[Chart in Microsoft Office Word]Sheet1'!$B$5:$F$5</c:f>
              <c:numCache>
                <c:formatCode>General</c:formatCode>
                <c:ptCount val="5"/>
                <c:pt idx="0">
                  <c:v>27.8</c:v>
                </c:pt>
                <c:pt idx="1">
                  <c:v>28.3</c:v>
                </c:pt>
                <c:pt idx="2">
                  <c:v>29</c:v>
                </c:pt>
                <c:pt idx="3">
                  <c:v>29.1</c:v>
                </c:pt>
                <c:pt idx="4">
                  <c:v>29.5</c:v>
                </c:pt>
              </c:numCache>
            </c:numRef>
          </c:val>
        </c:ser>
        <c:ser>
          <c:idx val="4"/>
          <c:order val="4"/>
          <c:tx>
            <c:strRef>
              <c:f>'[Chart in Microsoft Office Word]Sheet1'!$A$6</c:f>
              <c:strCache>
                <c:ptCount val="1"/>
                <c:pt idx="0">
                  <c:v>ČR- ženy</c:v>
                </c:pt>
              </c:strCache>
            </c:strRef>
          </c:tx>
          <c:invertIfNegative val="0"/>
          <c:cat>
            <c:strRef>
              <c:f>'[Chart in Microsoft Office Word]Sheet1'!$B$1:$F$1</c:f>
              <c:strCache>
                <c:ptCount val="5"/>
                <c:pt idx="0">
                  <c:v>2008</c:v>
                </c:pt>
                <c:pt idx="1">
                  <c:v>2009</c:v>
                </c:pt>
                <c:pt idx="2">
                  <c:v>2010</c:v>
                </c:pt>
                <c:pt idx="3">
                  <c:v>2011</c:v>
                </c:pt>
                <c:pt idx="4">
                  <c:v>2012</c:v>
                </c:pt>
              </c:strCache>
            </c:strRef>
          </c:cat>
          <c:val>
            <c:numRef>
              <c:f>'[Chart in Microsoft Office Word]Sheet1'!$B$6:$F$6</c:f>
              <c:numCache>
                <c:formatCode>General</c:formatCode>
                <c:ptCount val="5"/>
                <c:pt idx="0">
                  <c:v>30.1</c:v>
                </c:pt>
                <c:pt idx="1">
                  <c:v>30.4</c:v>
                </c:pt>
                <c:pt idx="2">
                  <c:v>30.4</c:v>
                </c:pt>
                <c:pt idx="3">
                  <c:v>30.5</c:v>
                </c:pt>
                <c:pt idx="4">
                  <c:v>30.9</c:v>
                </c:pt>
              </c:numCache>
            </c:numRef>
          </c:val>
        </c:ser>
        <c:ser>
          <c:idx val="5"/>
          <c:order val="5"/>
          <c:tx>
            <c:strRef>
              <c:f>'[Chart in Microsoft Office Word]Sheet1'!$A$7</c:f>
              <c:strCache>
                <c:ptCount val="1"/>
                <c:pt idx="0">
                  <c:v>EU (28)- ženy</c:v>
                </c:pt>
              </c:strCache>
            </c:strRef>
          </c:tx>
          <c:invertIfNegative val="0"/>
          <c:cat>
            <c:strRef>
              <c:f>'[Chart in Microsoft Office Word]Sheet1'!$B$1:$F$1</c:f>
              <c:strCache>
                <c:ptCount val="5"/>
                <c:pt idx="0">
                  <c:v>2008</c:v>
                </c:pt>
                <c:pt idx="1">
                  <c:v>2009</c:v>
                </c:pt>
                <c:pt idx="2">
                  <c:v>2010</c:v>
                </c:pt>
                <c:pt idx="3">
                  <c:v>2011</c:v>
                </c:pt>
                <c:pt idx="4">
                  <c:v>2012</c:v>
                </c:pt>
              </c:strCache>
            </c:strRef>
          </c:cat>
          <c:val>
            <c:numRef>
              <c:f>'[Chart in Microsoft Office Word]Sheet1'!$B$7:$F$7</c:f>
              <c:numCache>
                <c:formatCode>General</c:formatCode>
                <c:ptCount val="5"/>
                <c:pt idx="0">
                  <c:v>31.2</c:v>
                </c:pt>
                <c:pt idx="1">
                  <c:v>31.4</c:v>
                </c:pt>
                <c:pt idx="2">
                  <c:v>31.6</c:v>
                </c:pt>
                <c:pt idx="3">
                  <c:v>31.9</c:v>
                </c:pt>
                <c:pt idx="4">
                  <c:v>32.200000000000003</c:v>
                </c:pt>
              </c:numCache>
            </c:numRef>
          </c:val>
        </c:ser>
        <c:dLbls>
          <c:showLegendKey val="0"/>
          <c:showVal val="0"/>
          <c:showCatName val="0"/>
          <c:showSerName val="0"/>
          <c:showPercent val="0"/>
          <c:showBubbleSize val="0"/>
        </c:dLbls>
        <c:gapWidth val="150"/>
        <c:axId val="-248127936"/>
        <c:axId val="-248133376"/>
      </c:barChart>
      <c:catAx>
        <c:axId val="-248127936"/>
        <c:scaling>
          <c:orientation val="minMax"/>
        </c:scaling>
        <c:delete val="0"/>
        <c:axPos val="b"/>
        <c:numFmt formatCode="General" sourceLinked="0"/>
        <c:majorTickMark val="none"/>
        <c:minorTickMark val="none"/>
        <c:tickLblPos val="nextTo"/>
        <c:crossAx val="-248133376"/>
        <c:crosses val="autoZero"/>
        <c:auto val="1"/>
        <c:lblAlgn val="ctr"/>
        <c:lblOffset val="100"/>
        <c:noMultiLvlLbl val="0"/>
      </c:catAx>
      <c:valAx>
        <c:axId val="-248133376"/>
        <c:scaling>
          <c:orientation val="minMax"/>
        </c:scaling>
        <c:delete val="0"/>
        <c:axPos val="l"/>
        <c:majorGridlines/>
        <c:numFmt formatCode="General" sourceLinked="1"/>
        <c:majorTickMark val="none"/>
        <c:minorTickMark val="none"/>
        <c:tickLblPos val="nextTo"/>
        <c:crossAx val="-2481279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u="none" strike="noStrike" baseline="0">
                <a:effectLst/>
              </a:rPr>
              <a:t>HDP na obyvatele v paritě kupní síly </a:t>
            </a:r>
            <a:endParaRPr lang="en-US"/>
          </a:p>
        </c:rich>
      </c:tx>
      <c:overlay val="0"/>
    </c:title>
    <c:autoTitleDeleted val="0"/>
    <c:plotArea>
      <c:layout/>
      <c:lineChart>
        <c:grouping val="standard"/>
        <c:varyColors val="0"/>
        <c:ser>
          <c:idx val="0"/>
          <c:order val="0"/>
          <c:tx>
            <c:strRef>
              <c:f>'[Chart in Microsoft Office Word]Sheet1'!$A$2</c:f>
              <c:strCache>
                <c:ptCount val="1"/>
                <c:pt idx="0">
                  <c:v>Polsko</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56</c:v>
                </c:pt>
                <c:pt idx="1">
                  <c:v>60</c:v>
                </c:pt>
                <c:pt idx="2">
                  <c:v>63</c:v>
                </c:pt>
                <c:pt idx="3">
                  <c:v>65</c:v>
                </c:pt>
                <c:pt idx="4">
                  <c:v>67</c:v>
                </c:pt>
                <c:pt idx="5">
                  <c:v>68</c:v>
                </c:pt>
              </c:numCache>
            </c:numRef>
          </c:val>
          <c:smooth val="0"/>
        </c:ser>
        <c:ser>
          <c:idx val="1"/>
          <c:order val="1"/>
          <c:tx>
            <c:strRef>
              <c:f>'[Chart in Microsoft Office Word]Sheet1'!$A$3</c:f>
              <c:strCache>
                <c:ptCount val="1"/>
                <c:pt idx="0">
                  <c:v>ČR</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81</c:v>
                </c:pt>
                <c:pt idx="1">
                  <c:v>82</c:v>
                </c:pt>
                <c:pt idx="2">
                  <c:v>81</c:v>
                </c:pt>
                <c:pt idx="3">
                  <c:v>81</c:v>
                </c:pt>
                <c:pt idx="4">
                  <c:v>81</c:v>
                </c:pt>
                <c:pt idx="5">
                  <c:v>80</c:v>
                </c:pt>
              </c:numCache>
            </c:numRef>
          </c:val>
          <c:smooth val="0"/>
        </c:ser>
        <c:ser>
          <c:idx val="2"/>
          <c:order val="2"/>
          <c:tx>
            <c:strRef>
              <c:f>'[Chart in Microsoft Office Word]Sheet1'!$A$4</c:f>
              <c:strCache>
                <c:ptCount val="1"/>
                <c:pt idx="0">
                  <c:v>Euro (28)</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100</c:v>
                </c:pt>
                <c:pt idx="1">
                  <c:v>100</c:v>
                </c:pt>
                <c:pt idx="2">
                  <c:v>100</c:v>
                </c:pt>
                <c:pt idx="3">
                  <c:v>100</c:v>
                </c:pt>
                <c:pt idx="4">
                  <c:v>100</c:v>
                </c:pt>
                <c:pt idx="5">
                  <c:v>100</c:v>
                </c:pt>
              </c:numCache>
            </c:numRef>
          </c:val>
          <c:smooth val="0"/>
        </c:ser>
        <c:dLbls>
          <c:showLegendKey val="0"/>
          <c:showVal val="0"/>
          <c:showCatName val="0"/>
          <c:showSerName val="0"/>
          <c:showPercent val="0"/>
          <c:showBubbleSize val="0"/>
        </c:dLbls>
        <c:smooth val="0"/>
        <c:axId val="-2034321488"/>
        <c:axId val="-2034304624"/>
      </c:lineChart>
      <c:catAx>
        <c:axId val="-2034321488"/>
        <c:scaling>
          <c:orientation val="minMax"/>
        </c:scaling>
        <c:delete val="0"/>
        <c:axPos val="b"/>
        <c:numFmt formatCode="General" sourceLinked="0"/>
        <c:majorTickMark val="none"/>
        <c:minorTickMark val="none"/>
        <c:tickLblPos val="nextTo"/>
        <c:crossAx val="-2034304624"/>
        <c:crosses val="autoZero"/>
        <c:auto val="1"/>
        <c:lblAlgn val="ctr"/>
        <c:lblOffset val="100"/>
        <c:noMultiLvlLbl val="0"/>
      </c:catAx>
      <c:valAx>
        <c:axId val="-2034304624"/>
        <c:scaling>
          <c:orientation val="minMax"/>
        </c:scaling>
        <c:delete val="0"/>
        <c:axPos val="l"/>
        <c:majorGridlines/>
        <c:numFmt formatCode="General" sourceLinked="1"/>
        <c:majorTickMark val="none"/>
        <c:minorTickMark val="none"/>
        <c:tickLblPos val="nextTo"/>
        <c:crossAx val="-2034321488"/>
        <c:crosses val="autoZero"/>
        <c:crossBetween val="between"/>
      </c:valAx>
    </c:plotArea>
    <c:legend>
      <c:legendPos val="r"/>
      <c:legendEntry>
        <c:idx val="2"/>
        <c:txPr>
          <a:bodyPr/>
          <a:lstStyle/>
          <a:p>
            <a:pPr>
              <a:defRPr>
                <a:solidFill>
                  <a:schemeClr val="bg1"/>
                </a:solidFill>
              </a:defRPr>
            </a:pPr>
            <a:endParaRPr lang="cs-CZ"/>
          </a:p>
        </c:txPr>
      </c:legendEntry>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a:t>Míra inflace</a:t>
            </a:r>
            <a:endParaRPr lang="en-US"/>
          </a:p>
        </c:rich>
      </c:tx>
      <c:overlay val="0"/>
    </c:title>
    <c:autoTitleDeleted val="0"/>
    <c:plotArea>
      <c:layout/>
      <c:lineChart>
        <c:grouping val="standard"/>
        <c:varyColors val="0"/>
        <c:ser>
          <c:idx val="0"/>
          <c:order val="0"/>
          <c:tx>
            <c:strRef>
              <c:f>'[Chart in Microsoft Office Word]Sheet1'!$A$2</c:f>
              <c:strCache>
                <c:ptCount val="1"/>
                <c:pt idx="0">
                  <c:v>Polsko</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4.2</c:v>
                </c:pt>
                <c:pt idx="1">
                  <c:v>4</c:v>
                </c:pt>
                <c:pt idx="2">
                  <c:v>2.7</c:v>
                </c:pt>
                <c:pt idx="3">
                  <c:v>3.9</c:v>
                </c:pt>
                <c:pt idx="4">
                  <c:v>3.7</c:v>
                </c:pt>
                <c:pt idx="5">
                  <c:v>0.8</c:v>
                </c:pt>
              </c:numCache>
            </c:numRef>
          </c:val>
          <c:smooth val="0"/>
        </c:ser>
        <c:ser>
          <c:idx val="1"/>
          <c:order val="1"/>
          <c:tx>
            <c:strRef>
              <c:f>'[Chart in Microsoft Office Word]Sheet1'!$A$3</c:f>
              <c:strCache>
                <c:ptCount val="1"/>
                <c:pt idx="0">
                  <c:v>ČR</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6.3</c:v>
                </c:pt>
                <c:pt idx="1">
                  <c:v>0.6</c:v>
                </c:pt>
                <c:pt idx="2">
                  <c:v>1.2</c:v>
                </c:pt>
                <c:pt idx="3">
                  <c:v>2.1</c:v>
                </c:pt>
                <c:pt idx="4">
                  <c:v>3.5</c:v>
                </c:pt>
                <c:pt idx="5">
                  <c:v>1.4</c:v>
                </c:pt>
              </c:numCache>
            </c:numRef>
          </c:val>
          <c:smooth val="0"/>
        </c:ser>
        <c:ser>
          <c:idx val="2"/>
          <c:order val="2"/>
          <c:tx>
            <c:strRef>
              <c:f>'[Chart in Microsoft Office Word]Sheet1'!$A$4</c:f>
              <c:strCache>
                <c:ptCount val="1"/>
                <c:pt idx="0">
                  <c:v>Euro 28</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3.7</c:v>
                </c:pt>
                <c:pt idx="1">
                  <c:v>1</c:v>
                </c:pt>
                <c:pt idx="2">
                  <c:v>2.1</c:v>
                </c:pt>
                <c:pt idx="3">
                  <c:v>3.1</c:v>
                </c:pt>
                <c:pt idx="4">
                  <c:v>2.6</c:v>
                </c:pt>
                <c:pt idx="5">
                  <c:v>1.5</c:v>
                </c:pt>
              </c:numCache>
            </c:numRef>
          </c:val>
          <c:smooth val="0"/>
        </c:ser>
        <c:dLbls>
          <c:showLegendKey val="0"/>
          <c:showVal val="0"/>
          <c:showCatName val="0"/>
          <c:showSerName val="0"/>
          <c:showPercent val="0"/>
          <c:showBubbleSize val="0"/>
        </c:dLbls>
        <c:smooth val="0"/>
        <c:axId val="-2034302448"/>
        <c:axId val="-2034293200"/>
      </c:lineChart>
      <c:catAx>
        <c:axId val="-2034302448"/>
        <c:scaling>
          <c:orientation val="minMax"/>
        </c:scaling>
        <c:delete val="0"/>
        <c:axPos val="b"/>
        <c:numFmt formatCode="General" sourceLinked="0"/>
        <c:majorTickMark val="none"/>
        <c:minorTickMark val="none"/>
        <c:tickLblPos val="nextTo"/>
        <c:crossAx val="-2034293200"/>
        <c:crosses val="autoZero"/>
        <c:auto val="1"/>
        <c:lblAlgn val="ctr"/>
        <c:lblOffset val="100"/>
        <c:noMultiLvlLbl val="0"/>
      </c:catAx>
      <c:valAx>
        <c:axId val="-2034293200"/>
        <c:scaling>
          <c:orientation val="minMax"/>
        </c:scaling>
        <c:delete val="0"/>
        <c:axPos val="l"/>
        <c:majorGridlines/>
        <c:numFmt formatCode="General" sourceLinked="1"/>
        <c:majorTickMark val="none"/>
        <c:minorTickMark val="none"/>
        <c:tickLblPos val="nextTo"/>
        <c:crossAx val="-2034302448"/>
        <c:crosses val="autoZero"/>
        <c:crossBetween val="between"/>
      </c:valAx>
    </c:plotArea>
    <c:legend>
      <c:legendPos val="r"/>
      <c:legendEntry>
        <c:idx val="2"/>
        <c:txPr>
          <a:bodyPr/>
          <a:lstStyle/>
          <a:p>
            <a:pPr>
              <a:defRPr>
                <a:solidFill>
                  <a:schemeClr val="bg1"/>
                </a:solidFill>
              </a:defRPr>
            </a:pPr>
            <a:endParaRPr lang="cs-CZ"/>
          </a:p>
        </c:txPr>
      </c:legendEntry>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a:t>Míra nezaměstnanosti</a:t>
            </a:r>
            <a:endParaRPr lang="en-US"/>
          </a:p>
        </c:rich>
      </c:tx>
      <c:overlay val="0"/>
    </c:title>
    <c:autoTitleDeleted val="0"/>
    <c:plotArea>
      <c:layout/>
      <c:lineChart>
        <c:grouping val="standard"/>
        <c:varyColors val="0"/>
        <c:ser>
          <c:idx val="0"/>
          <c:order val="0"/>
          <c:tx>
            <c:strRef>
              <c:f>'[Chart in Microsoft Office Word]Sheet1'!$A$2</c:f>
              <c:strCache>
                <c:ptCount val="1"/>
                <c:pt idx="0">
                  <c:v>Polsko</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7</c:v>
                </c:pt>
                <c:pt idx="1">
                  <c:v>8.6</c:v>
                </c:pt>
                <c:pt idx="2">
                  <c:v>9.6</c:v>
                </c:pt>
                <c:pt idx="3">
                  <c:v>9.9</c:v>
                </c:pt>
                <c:pt idx="4">
                  <c:v>10.4</c:v>
                </c:pt>
                <c:pt idx="5">
                  <c:v>10</c:v>
                </c:pt>
              </c:numCache>
            </c:numRef>
          </c:val>
          <c:smooth val="0"/>
        </c:ser>
        <c:ser>
          <c:idx val="1"/>
          <c:order val="1"/>
          <c:tx>
            <c:strRef>
              <c:f>'[Chart in Microsoft Office Word]Sheet1'!$A$3</c:f>
              <c:strCache>
                <c:ptCount val="1"/>
                <c:pt idx="0">
                  <c:v>ČR</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4.7</c:v>
                </c:pt>
                <c:pt idx="1">
                  <c:v>7.3</c:v>
                </c:pt>
                <c:pt idx="2">
                  <c:v>7</c:v>
                </c:pt>
                <c:pt idx="3">
                  <c:v>6.5</c:v>
                </c:pt>
                <c:pt idx="4">
                  <c:v>7.1</c:v>
                </c:pt>
                <c:pt idx="5">
                  <c:v>6.7</c:v>
                </c:pt>
              </c:numCache>
            </c:numRef>
          </c:val>
          <c:smooth val="0"/>
        </c:ser>
        <c:ser>
          <c:idx val="2"/>
          <c:order val="2"/>
          <c:tx>
            <c:strRef>
              <c:f>'[Chart in Microsoft Office Word]Sheet1'!$A$4</c:f>
              <c:strCache>
                <c:ptCount val="1"/>
                <c:pt idx="0">
                  <c:v>Euro 28</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7.7</c:v>
                </c:pt>
                <c:pt idx="1">
                  <c:v>9.4</c:v>
                </c:pt>
                <c:pt idx="2">
                  <c:v>9.5</c:v>
                </c:pt>
                <c:pt idx="3">
                  <c:v>10</c:v>
                </c:pt>
                <c:pt idx="4">
                  <c:v>10.8</c:v>
                </c:pt>
                <c:pt idx="5">
                  <c:v>10.6</c:v>
                </c:pt>
              </c:numCache>
            </c:numRef>
          </c:val>
          <c:smooth val="0"/>
        </c:ser>
        <c:dLbls>
          <c:showLegendKey val="0"/>
          <c:showVal val="0"/>
          <c:showCatName val="0"/>
          <c:showSerName val="0"/>
          <c:showPercent val="0"/>
          <c:showBubbleSize val="0"/>
        </c:dLbls>
        <c:smooth val="0"/>
        <c:axId val="-2053676528"/>
        <c:axId val="-2053674896"/>
      </c:lineChart>
      <c:catAx>
        <c:axId val="-2053676528"/>
        <c:scaling>
          <c:orientation val="minMax"/>
        </c:scaling>
        <c:delete val="0"/>
        <c:axPos val="b"/>
        <c:numFmt formatCode="General" sourceLinked="0"/>
        <c:majorTickMark val="none"/>
        <c:minorTickMark val="none"/>
        <c:tickLblPos val="nextTo"/>
        <c:crossAx val="-2053674896"/>
        <c:crosses val="autoZero"/>
        <c:auto val="1"/>
        <c:lblAlgn val="ctr"/>
        <c:lblOffset val="100"/>
        <c:noMultiLvlLbl val="0"/>
      </c:catAx>
      <c:valAx>
        <c:axId val="-2053674896"/>
        <c:scaling>
          <c:orientation val="minMax"/>
        </c:scaling>
        <c:delete val="0"/>
        <c:axPos val="l"/>
        <c:majorGridlines/>
        <c:numFmt formatCode="General" sourceLinked="1"/>
        <c:majorTickMark val="none"/>
        <c:minorTickMark val="none"/>
        <c:tickLblPos val="nextTo"/>
        <c:crossAx val="-2053676528"/>
        <c:crosses val="autoZero"/>
        <c:crossBetween val="between"/>
      </c:valAx>
    </c:plotArea>
    <c:legend>
      <c:legendPos val="r"/>
      <c:legendEntry>
        <c:idx val="2"/>
        <c:txPr>
          <a:bodyPr/>
          <a:lstStyle/>
          <a:p>
            <a:pPr>
              <a:defRPr>
                <a:solidFill>
                  <a:schemeClr val="bg1">
                    <a:lumMod val="95000"/>
                  </a:schemeClr>
                </a:solidFill>
              </a:defRPr>
            </a:pPr>
            <a:endParaRPr lang="cs-CZ"/>
          </a:p>
        </c:txPr>
      </c:legendEntry>
      <c:layout>
        <c:manualLayout>
          <c:xMode val="edge"/>
          <c:yMode val="edge"/>
          <c:x val="0.82517425942159395"/>
          <c:y val="0.47068024123463298"/>
          <c:w val="0.155208281039416"/>
          <c:h val="0.303290914460007"/>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Míra</a:t>
            </a:r>
            <a:r>
              <a:rPr lang="en-US" baseline="0"/>
              <a:t> zaměstnanosti</a:t>
            </a:r>
            <a:endParaRPr lang="en-US"/>
          </a:p>
        </c:rich>
      </c:tx>
      <c:overlay val="0"/>
    </c:title>
    <c:autoTitleDeleted val="0"/>
    <c:plotArea>
      <c:layout/>
      <c:lineChart>
        <c:grouping val="standard"/>
        <c:varyColors val="0"/>
        <c:ser>
          <c:idx val="0"/>
          <c:order val="0"/>
          <c:tx>
            <c:strRef>
              <c:f>'[Chart in Microsoft Office Word]Sheet1'!$A$2</c:f>
              <c:strCache>
                <c:ptCount val="1"/>
                <c:pt idx="0">
                  <c:v>Polsko</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73</c:v>
                </c:pt>
                <c:pt idx="1">
                  <c:v>72.599999999999994</c:v>
                </c:pt>
                <c:pt idx="2">
                  <c:v>71.3</c:v>
                </c:pt>
                <c:pt idx="3">
                  <c:v>71.900000000000006</c:v>
                </c:pt>
                <c:pt idx="4">
                  <c:v>72</c:v>
                </c:pt>
                <c:pt idx="5">
                  <c:v>72.099999999999994</c:v>
                </c:pt>
              </c:numCache>
            </c:numRef>
          </c:val>
          <c:smooth val="0"/>
        </c:ser>
        <c:ser>
          <c:idx val="1"/>
          <c:order val="1"/>
          <c:tx>
            <c:strRef>
              <c:f>'[Chart in Microsoft Office Word]Sheet1'!$A$3</c:f>
              <c:strCache>
                <c:ptCount val="1"/>
                <c:pt idx="0">
                  <c:v>ČR</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82</c:v>
                </c:pt>
                <c:pt idx="1">
                  <c:v>80.2</c:v>
                </c:pt>
                <c:pt idx="2">
                  <c:v>79.599999999999994</c:v>
                </c:pt>
                <c:pt idx="3">
                  <c:v>79.900000000000006</c:v>
                </c:pt>
                <c:pt idx="4">
                  <c:v>80.2</c:v>
                </c:pt>
                <c:pt idx="5">
                  <c:v>81</c:v>
                </c:pt>
              </c:numCache>
            </c:numRef>
          </c:val>
          <c:smooth val="0"/>
        </c:ser>
        <c:ser>
          <c:idx val="2"/>
          <c:order val="2"/>
          <c:tx>
            <c:strRef>
              <c:f>'[Chart in Microsoft Office Word]Sheet1'!$A$4</c:f>
              <c:strCache>
                <c:ptCount val="1"/>
                <c:pt idx="0">
                  <c:v>Euro 28</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77.8</c:v>
                </c:pt>
                <c:pt idx="1">
                  <c:v>75.7</c:v>
                </c:pt>
                <c:pt idx="2">
                  <c:v>75</c:v>
                </c:pt>
                <c:pt idx="3">
                  <c:v>74.900000000000006</c:v>
                </c:pt>
                <c:pt idx="4">
                  <c:v>74.5</c:v>
                </c:pt>
                <c:pt idx="5">
                  <c:v>74.3</c:v>
                </c:pt>
              </c:numCache>
            </c:numRef>
          </c:val>
          <c:smooth val="0"/>
        </c:ser>
        <c:dLbls>
          <c:showLegendKey val="0"/>
          <c:showVal val="0"/>
          <c:showCatName val="0"/>
          <c:showSerName val="0"/>
          <c:showPercent val="0"/>
          <c:showBubbleSize val="0"/>
        </c:dLbls>
        <c:smooth val="0"/>
        <c:axId val="-2053685232"/>
        <c:axId val="-778747024"/>
      </c:lineChart>
      <c:catAx>
        <c:axId val="-2053685232"/>
        <c:scaling>
          <c:orientation val="minMax"/>
        </c:scaling>
        <c:delete val="0"/>
        <c:axPos val="b"/>
        <c:numFmt formatCode="General" sourceLinked="0"/>
        <c:majorTickMark val="none"/>
        <c:minorTickMark val="none"/>
        <c:tickLblPos val="nextTo"/>
        <c:crossAx val="-778747024"/>
        <c:crosses val="autoZero"/>
        <c:auto val="1"/>
        <c:lblAlgn val="ctr"/>
        <c:lblOffset val="100"/>
        <c:noMultiLvlLbl val="0"/>
      </c:catAx>
      <c:valAx>
        <c:axId val="-778747024"/>
        <c:scaling>
          <c:orientation val="minMax"/>
        </c:scaling>
        <c:delete val="0"/>
        <c:axPos val="l"/>
        <c:majorGridlines/>
        <c:numFmt formatCode="General" sourceLinked="1"/>
        <c:majorTickMark val="none"/>
        <c:minorTickMark val="none"/>
        <c:tickLblPos val="nextTo"/>
        <c:crossAx val="-2053685232"/>
        <c:crosses val="autoZero"/>
        <c:crossBetween val="between"/>
      </c:valAx>
    </c:plotArea>
    <c:legend>
      <c:legendPos val="r"/>
      <c:legendEntry>
        <c:idx val="2"/>
        <c:txPr>
          <a:bodyPr/>
          <a:lstStyle/>
          <a:p>
            <a:pPr>
              <a:defRPr>
                <a:solidFill>
                  <a:schemeClr val="bg1"/>
                </a:solidFill>
              </a:defRPr>
            </a:pPr>
            <a:endParaRPr lang="cs-CZ"/>
          </a:p>
        </c:txPr>
      </c:legendEntry>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Státní</a:t>
            </a:r>
            <a:r>
              <a:rPr lang="en-US" baseline="0"/>
              <a:t> dluh</a:t>
            </a:r>
            <a:endParaRPr lang="en-US"/>
          </a:p>
        </c:rich>
      </c:tx>
      <c:overlay val="0"/>
    </c:title>
    <c:autoTitleDeleted val="0"/>
    <c:plotArea>
      <c:layout/>
      <c:lineChart>
        <c:grouping val="standard"/>
        <c:varyColors val="0"/>
        <c:ser>
          <c:idx val="0"/>
          <c:order val="0"/>
          <c:tx>
            <c:strRef>
              <c:f>'[Chart in Microsoft Office Word]Sheet1'!$A$2</c:f>
              <c:strCache>
                <c:ptCount val="1"/>
                <c:pt idx="0">
                  <c:v>Polsko</c:v>
                </c:pt>
              </c:strCache>
            </c:strRef>
          </c:tx>
          <c:marker>
            <c:symbol val="none"/>
          </c:marker>
          <c:cat>
            <c:strRef>
              <c:f>'[Chart in Microsoft Office Word]Sheet1'!$B$1:$E$1</c:f>
              <c:strCache>
                <c:ptCount val="4"/>
                <c:pt idx="0">
                  <c:v>2010</c:v>
                </c:pt>
                <c:pt idx="1">
                  <c:v>2011</c:v>
                </c:pt>
                <c:pt idx="2">
                  <c:v>2012</c:v>
                </c:pt>
                <c:pt idx="3">
                  <c:v>2013</c:v>
                </c:pt>
              </c:strCache>
            </c:strRef>
          </c:cat>
          <c:val>
            <c:numRef>
              <c:f>'[Chart in Microsoft Office Word]Sheet1'!$B$2:$E$2</c:f>
              <c:numCache>
                <c:formatCode>General</c:formatCode>
                <c:ptCount val="4"/>
                <c:pt idx="0">
                  <c:v>53.6</c:v>
                </c:pt>
                <c:pt idx="1">
                  <c:v>54.8</c:v>
                </c:pt>
                <c:pt idx="2">
                  <c:v>54.4</c:v>
                </c:pt>
                <c:pt idx="3">
                  <c:v>55.7</c:v>
                </c:pt>
              </c:numCache>
            </c:numRef>
          </c:val>
          <c:smooth val="0"/>
        </c:ser>
        <c:ser>
          <c:idx val="1"/>
          <c:order val="1"/>
          <c:tx>
            <c:strRef>
              <c:f>'[Chart in Microsoft Office Word]Sheet1'!$A$3</c:f>
              <c:strCache>
                <c:ptCount val="1"/>
                <c:pt idx="0">
                  <c:v>ČR</c:v>
                </c:pt>
              </c:strCache>
            </c:strRef>
          </c:tx>
          <c:marker>
            <c:symbol val="none"/>
          </c:marker>
          <c:cat>
            <c:strRef>
              <c:f>'[Chart in Microsoft Office Word]Sheet1'!$B$1:$E$1</c:f>
              <c:strCache>
                <c:ptCount val="4"/>
                <c:pt idx="0">
                  <c:v>2010</c:v>
                </c:pt>
                <c:pt idx="1">
                  <c:v>2011</c:v>
                </c:pt>
                <c:pt idx="2">
                  <c:v>2012</c:v>
                </c:pt>
                <c:pt idx="3">
                  <c:v>2013</c:v>
                </c:pt>
              </c:strCache>
            </c:strRef>
          </c:cat>
          <c:val>
            <c:numRef>
              <c:f>'[Chart in Microsoft Office Word]Sheet1'!$B$3:$E$3</c:f>
              <c:numCache>
                <c:formatCode>General</c:formatCode>
                <c:ptCount val="4"/>
                <c:pt idx="0">
                  <c:v>38.200000000000003</c:v>
                </c:pt>
                <c:pt idx="1">
                  <c:v>41</c:v>
                </c:pt>
                <c:pt idx="2">
                  <c:v>45.5</c:v>
                </c:pt>
                <c:pt idx="3">
                  <c:v>45.7</c:v>
                </c:pt>
              </c:numCache>
            </c:numRef>
          </c:val>
          <c:smooth val="0"/>
        </c:ser>
        <c:ser>
          <c:idx val="2"/>
          <c:order val="2"/>
          <c:tx>
            <c:strRef>
              <c:f>'[Chart in Microsoft Office Word]Sheet1'!$A$4</c:f>
              <c:strCache>
                <c:ptCount val="1"/>
                <c:pt idx="0">
                  <c:v>EU 28</c:v>
                </c:pt>
              </c:strCache>
            </c:strRef>
          </c:tx>
          <c:marker>
            <c:symbol val="none"/>
          </c:marker>
          <c:cat>
            <c:strRef>
              <c:f>'[Chart in Microsoft Office Word]Sheet1'!$B$1:$E$1</c:f>
              <c:strCache>
                <c:ptCount val="4"/>
                <c:pt idx="0">
                  <c:v>2010</c:v>
                </c:pt>
                <c:pt idx="1">
                  <c:v>2011</c:v>
                </c:pt>
                <c:pt idx="2">
                  <c:v>2012</c:v>
                </c:pt>
                <c:pt idx="3">
                  <c:v>2013</c:v>
                </c:pt>
              </c:strCache>
            </c:strRef>
          </c:cat>
          <c:val>
            <c:numRef>
              <c:f>'[Chart in Microsoft Office Word]Sheet1'!$B$4:$E$4</c:f>
              <c:numCache>
                <c:formatCode>General</c:formatCode>
                <c:ptCount val="4"/>
                <c:pt idx="0">
                  <c:v>78.2</c:v>
                </c:pt>
                <c:pt idx="1">
                  <c:v>80.8</c:v>
                </c:pt>
                <c:pt idx="2">
                  <c:v>83.5</c:v>
                </c:pt>
                <c:pt idx="3">
                  <c:v>85.4</c:v>
                </c:pt>
              </c:numCache>
            </c:numRef>
          </c:val>
          <c:smooth val="0"/>
        </c:ser>
        <c:dLbls>
          <c:showLegendKey val="0"/>
          <c:showVal val="0"/>
          <c:showCatName val="0"/>
          <c:showSerName val="0"/>
          <c:showPercent val="0"/>
          <c:showBubbleSize val="0"/>
        </c:dLbls>
        <c:smooth val="0"/>
        <c:axId val="-778749744"/>
        <c:axId val="-778745936"/>
      </c:lineChart>
      <c:catAx>
        <c:axId val="-778749744"/>
        <c:scaling>
          <c:orientation val="minMax"/>
        </c:scaling>
        <c:delete val="0"/>
        <c:axPos val="b"/>
        <c:numFmt formatCode="General" sourceLinked="0"/>
        <c:majorTickMark val="none"/>
        <c:minorTickMark val="none"/>
        <c:tickLblPos val="nextTo"/>
        <c:crossAx val="-778745936"/>
        <c:crosses val="autoZero"/>
        <c:auto val="1"/>
        <c:lblAlgn val="ctr"/>
        <c:lblOffset val="100"/>
        <c:noMultiLvlLbl val="0"/>
      </c:catAx>
      <c:valAx>
        <c:axId val="-778745936"/>
        <c:scaling>
          <c:orientation val="minMax"/>
        </c:scaling>
        <c:delete val="0"/>
        <c:axPos val="l"/>
        <c:majorGridlines/>
        <c:numFmt formatCode="General" sourceLinked="1"/>
        <c:majorTickMark val="none"/>
        <c:minorTickMark val="none"/>
        <c:tickLblPos val="nextTo"/>
        <c:crossAx val="-77874974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sz="1800">
                <a:effectLst/>
              </a:rPr>
              <a:t>Míra nezaměstnanosti žen a mužů (15-74let)</a:t>
            </a:r>
          </a:p>
        </c:rich>
      </c:tx>
      <c:overlay val="0"/>
    </c:title>
    <c:autoTitleDeleted val="0"/>
    <c:plotArea>
      <c:layout/>
      <c:lineChart>
        <c:grouping val="standard"/>
        <c:varyColors val="0"/>
        <c:ser>
          <c:idx val="0"/>
          <c:order val="0"/>
          <c:tx>
            <c:strRef>
              <c:f>'[Chart in Microsoft Office Word]Sheet1'!$A$2</c:f>
              <c:strCache>
                <c:ptCount val="1"/>
                <c:pt idx="0">
                  <c:v>Polsko- muži</c:v>
                </c:pt>
              </c:strCache>
            </c:strRef>
          </c:tx>
          <c:spPr>
            <a:ln>
              <a:solidFill>
                <a:schemeClr val="accent4">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6.5</c:v>
                </c:pt>
                <c:pt idx="1">
                  <c:v>7.9</c:v>
                </c:pt>
                <c:pt idx="2">
                  <c:v>9.5</c:v>
                </c:pt>
                <c:pt idx="3">
                  <c:v>9.1</c:v>
                </c:pt>
                <c:pt idx="4">
                  <c:v>9.5</c:v>
                </c:pt>
                <c:pt idx="5">
                  <c:v>9.8000000000000007</c:v>
                </c:pt>
              </c:numCache>
            </c:numRef>
          </c:val>
          <c:smooth val="0"/>
        </c:ser>
        <c:ser>
          <c:idx val="1"/>
          <c:order val="1"/>
          <c:tx>
            <c:strRef>
              <c:f>'[Chart in Microsoft Office Word]Sheet1'!$A$3</c:f>
              <c:strCache>
                <c:ptCount val="1"/>
                <c:pt idx="0">
                  <c:v>ČR- muži</c:v>
                </c:pt>
              </c:strCache>
            </c:strRef>
          </c:tx>
          <c:spPr>
            <a:ln>
              <a:solidFill>
                <a:schemeClr val="accent5">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3.5</c:v>
                </c:pt>
                <c:pt idx="1">
                  <c:v>5.9</c:v>
                </c:pt>
                <c:pt idx="2">
                  <c:v>6.5</c:v>
                </c:pt>
                <c:pt idx="3">
                  <c:v>5.9</c:v>
                </c:pt>
                <c:pt idx="4">
                  <c:v>6.1</c:v>
                </c:pt>
                <c:pt idx="5">
                  <c:v>6</c:v>
                </c:pt>
              </c:numCache>
            </c:numRef>
          </c:val>
          <c:smooth val="0"/>
        </c:ser>
        <c:ser>
          <c:idx val="2"/>
          <c:order val="2"/>
          <c:tx>
            <c:strRef>
              <c:f>'[Chart in Microsoft Office Word]Sheet1'!$A$4</c:f>
              <c:strCache>
                <c:ptCount val="1"/>
                <c:pt idx="0">
                  <c:v>Euro 28- muži</c:v>
                </c:pt>
              </c:strCache>
            </c:strRef>
          </c:tx>
          <c:spPr>
            <a:ln>
              <a:solidFill>
                <a:schemeClr val="accent6">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6.7</c:v>
                </c:pt>
                <c:pt idx="1">
                  <c:v>9.1</c:v>
                </c:pt>
                <c:pt idx="2">
                  <c:v>9.8000000000000007</c:v>
                </c:pt>
                <c:pt idx="3">
                  <c:v>9.7000000000000011</c:v>
                </c:pt>
                <c:pt idx="4">
                  <c:v>10.6</c:v>
                </c:pt>
                <c:pt idx="5">
                  <c:v>10.9</c:v>
                </c:pt>
              </c:numCache>
            </c:numRef>
          </c:val>
          <c:smooth val="0"/>
        </c:ser>
        <c:ser>
          <c:idx val="3"/>
          <c:order val="3"/>
          <c:tx>
            <c:strRef>
              <c:f>'[Chart in Microsoft Office Word]Sheet1'!$A$5</c:f>
              <c:strCache>
                <c:ptCount val="1"/>
                <c:pt idx="0">
                  <c:v>Polsko- ženy</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Word]Sheet1'!$B$5:$G$5</c:f>
              <c:numCache>
                <c:formatCode>General</c:formatCode>
                <c:ptCount val="6"/>
                <c:pt idx="0">
                  <c:v>8</c:v>
                </c:pt>
                <c:pt idx="1">
                  <c:v>8.8000000000000007</c:v>
                </c:pt>
                <c:pt idx="2">
                  <c:v>10.1</c:v>
                </c:pt>
                <c:pt idx="3">
                  <c:v>10.5</c:v>
                </c:pt>
                <c:pt idx="4">
                  <c:v>11</c:v>
                </c:pt>
                <c:pt idx="5">
                  <c:v>11.2</c:v>
                </c:pt>
              </c:numCache>
            </c:numRef>
          </c:val>
          <c:smooth val="0"/>
        </c:ser>
        <c:ser>
          <c:idx val="4"/>
          <c:order val="4"/>
          <c:tx>
            <c:strRef>
              <c:f>'[Chart in Microsoft Office Word]Sheet1'!$A$6</c:f>
              <c:strCache>
                <c:ptCount val="1"/>
                <c:pt idx="0">
                  <c:v>ČR- ženy</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Word]Sheet1'!$B$6:$G$6</c:f>
              <c:numCache>
                <c:formatCode>General</c:formatCode>
                <c:ptCount val="6"/>
                <c:pt idx="0">
                  <c:v>5.7</c:v>
                </c:pt>
                <c:pt idx="1">
                  <c:v>7.8</c:v>
                </c:pt>
                <c:pt idx="2">
                  <c:v>8.5</c:v>
                </c:pt>
                <c:pt idx="3">
                  <c:v>8</c:v>
                </c:pt>
                <c:pt idx="4">
                  <c:v>8.3000000000000007</c:v>
                </c:pt>
                <c:pt idx="5">
                  <c:v>8.4</c:v>
                </c:pt>
              </c:numCache>
            </c:numRef>
          </c:val>
          <c:smooth val="0"/>
        </c:ser>
        <c:ser>
          <c:idx val="5"/>
          <c:order val="5"/>
          <c:tx>
            <c:strRef>
              <c:f>'[Chart in Microsoft Office Word]Sheet1'!$A$7</c:f>
              <c:strCache>
                <c:ptCount val="1"/>
                <c:pt idx="0">
                  <c:v>Euro 28- ženy</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Word]Sheet1'!$B$7:$G$7</c:f>
              <c:numCache>
                <c:formatCode>General</c:formatCode>
                <c:ptCount val="6"/>
                <c:pt idx="0">
                  <c:v>7.6</c:v>
                </c:pt>
                <c:pt idx="1">
                  <c:v>9</c:v>
                </c:pt>
                <c:pt idx="2">
                  <c:v>9.7000000000000011</c:v>
                </c:pt>
                <c:pt idx="3">
                  <c:v>9.8000000000000007</c:v>
                </c:pt>
                <c:pt idx="4">
                  <c:v>10.6</c:v>
                </c:pt>
                <c:pt idx="5">
                  <c:v>10.9</c:v>
                </c:pt>
              </c:numCache>
            </c:numRef>
          </c:val>
          <c:smooth val="0"/>
        </c:ser>
        <c:dLbls>
          <c:showLegendKey val="0"/>
          <c:showVal val="0"/>
          <c:showCatName val="0"/>
          <c:showSerName val="0"/>
          <c:showPercent val="0"/>
          <c:showBubbleSize val="0"/>
        </c:dLbls>
        <c:smooth val="0"/>
        <c:axId val="-729551408"/>
        <c:axId val="-729549232"/>
      </c:lineChart>
      <c:catAx>
        <c:axId val="-729551408"/>
        <c:scaling>
          <c:orientation val="minMax"/>
        </c:scaling>
        <c:delete val="0"/>
        <c:axPos val="b"/>
        <c:numFmt formatCode="General" sourceLinked="0"/>
        <c:majorTickMark val="none"/>
        <c:minorTickMark val="none"/>
        <c:tickLblPos val="nextTo"/>
        <c:crossAx val="-729549232"/>
        <c:crosses val="autoZero"/>
        <c:auto val="1"/>
        <c:lblAlgn val="ctr"/>
        <c:lblOffset val="100"/>
        <c:noMultiLvlLbl val="0"/>
      </c:catAx>
      <c:valAx>
        <c:axId val="-729549232"/>
        <c:scaling>
          <c:orientation val="minMax"/>
        </c:scaling>
        <c:delete val="0"/>
        <c:axPos val="l"/>
        <c:majorGridlines/>
        <c:numFmt formatCode="General" sourceLinked="1"/>
        <c:majorTickMark val="none"/>
        <c:minorTickMark val="none"/>
        <c:tickLblPos val="nextTo"/>
        <c:crossAx val="-729551408"/>
        <c:crosses val="autoZero"/>
        <c:crossBetween val="between"/>
      </c:valAx>
    </c:plotArea>
    <c:legend>
      <c:legendPos val="r"/>
      <c:legendEntry>
        <c:idx val="2"/>
        <c:txPr>
          <a:bodyPr/>
          <a:lstStyle/>
          <a:p>
            <a:pPr>
              <a:defRPr>
                <a:solidFill>
                  <a:schemeClr val="bg1"/>
                </a:solidFill>
              </a:defRPr>
            </a:pPr>
            <a:endParaRPr lang="cs-CZ"/>
          </a:p>
        </c:txPr>
      </c:legendEntry>
      <c:legendEntry>
        <c:idx val="5"/>
        <c:txPr>
          <a:bodyPr/>
          <a:lstStyle/>
          <a:p>
            <a:pPr>
              <a:defRPr>
                <a:solidFill>
                  <a:schemeClr val="bg1"/>
                </a:solidFill>
              </a:defRPr>
            </a:pPr>
            <a:endParaRPr lang="cs-CZ"/>
          </a:p>
        </c:txPr>
      </c:legendEntry>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sz="1800">
                <a:effectLst/>
              </a:rPr>
              <a:t>Míra nezaměstnanosti žen i mužů 15 až 24 let a 25 až 74 let</a:t>
            </a:r>
          </a:p>
        </c:rich>
      </c:tx>
      <c:overlay val="0"/>
    </c:title>
    <c:autoTitleDeleted val="0"/>
    <c:plotArea>
      <c:layout/>
      <c:lineChart>
        <c:grouping val="standard"/>
        <c:varyColors val="0"/>
        <c:ser>
          <c:idx val="0"/>
          <c:order val="0"/>
          <c:tx>
            <c:strRef>
              <c:f>'[Chart in Microsoft Office Word]Sheet1'!$A$2</c:f>
              <c:strCache>
                <c:ptCount val="1"/>
                <c:pt idx="0">
                  <c:v>Polsko- mezi 15 až 24</c:v>
                </c:pt>
              </c:strCache>
            </c:strRef>
          </c:tx>
          <c:spPr>
            <a:ln>
              <a:solidFill>
                <a:schemeClr val="accent4">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Word]Sheet1'!$B$2:$G$2</c:f>
              <c:numCache>
                <c:formatCode>General</c:formatCode>
                <c:ptCount val="6"/>
                <c:pt idx="0">
                  <c:v>17.3</c:v>
                </c:pt>
                <c:pt idx="1">
                  <c:v>20.6</c:v>
                </c:pt>
                <c:pt idx="2">
                  <c:v>23.7</c:v>
                </c:pt>
                <c:pt idx="3">
                  <c:v>25.8</c:v>
                </c:pt>
                <c:pt idx="4">
                  <c:v>26.5</c:v>
                </c:pt>
                <c:pt idx="5">
                  <c:v>27.3</c:v>
                </c:pt>
              </c:numCache>
            </c:numRef>
          </c:val>
          <c:smooth val="0"/>
        </c:ser>
        <c:ser>
          <c:idx val="1"/>
          <c:order val="1"/>
          <c:tx>
            <c:strRef>
              <c:f>'[Chart in Microsoft Office Word]Sheet1'!$A$3</c:f>
              <c:strCache>
                <c:ptCount val="1"/>
                <c:pt idx="0">
                  <c:v>ČR- mezi 15 až 24</c:v>
                </c:pt>
              </c:strCache>
            </c:strRef>
          </c:tx>
          <c:spPr>
            <a:ln>
              <a:solidFill>
                <a:schemeClr val="accent5">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Word]Sheet1'!$B$3:$G$3</c:f>
              <c:numCache>
                <c:formatCode>General</c:formatCode>
                <c:ptCount val="6"/>
                <c:pt idx="0">
                  <c:v>9.9</c:v>
                </c:pt>
                <c:pt idx="1">
                  <c:v>16.600000000000001</c:v>
                </c:pt>
                <c:pt idx="2">
                  <c:v>18.3</c:v>
                </c:pt>
                <c:pt idx="3">
                  <c:v>18.100000000000001</c:v>
                </c:pt>
                <c:pt idx="4">
                  <c:v>19.5</c:v>
                </c:pt>
                <c:pt idx="5">
                  <c:v>19</c:v>
                </c:pt>
              </c:numCache>
            </c:numRef>
          </c:val>
          <c:smooth val="0"/>
        </c:ser>
        <c:ser>
          <c:idx val="2"/>
          <c:order val="2"/>
          <c:tx>
            <c:strRef>
              <c:f>'[Chart in Microsoft Office Word]Sheet1'!$A$4</c:f>
              <c:strCache>
                <c:ptCount val="1"/>
                <c:pt idx="0">
                  <c:v>Euro 28- mezi 15 až 24</c:v>
                </c:pt>
              </c:strCache>
            </c:strRef>
          </c:tx>
          <c:spPr>
            <a:ln>
              <a:solidFill>
                <a:schemeClr val="accent6">
                  <a:lumMod val="75000"/>
                </a:schemeClr>
              </a:solidFill>
              <a:prstDash val="sysDash"/>
            </a:ln>
          </c:spPr>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Word]Sheet1'!$B$4:$G$4</c:f>
              <c:numCache>
                <c:formatCode>General</c:formatCode>
                <c:ptCount val="6"/>
                <c:pt idx="0">
                  <c:v>15.6</c:v>
                </c:pt>
                <c:pt idx="1">
                  <c:v>19.899999999999999</c:v>
                </c:pt>
                <c:pt idx="2">
                  <c:v>21</c:v>
                </c:pt>
                <c:pt idx="3">
                  <c:v>21.4</c:v>
                </c:pt>
                <c:pt idx="4">
                  <c:v>22.9</c:v>
                </c:pt>
                <c:pt idx="5">
                  <c:v>23.4</c:v>
                </c:pt>
              </c:numCache>
            </c:numRef>
          </c:val>
          <c:smooth val="0"/>
        </c:ser>
        <c:ser>
          <c:idx val="3"/>
          <c:order val="3"/>
          <c:tx>
            <c:strRef>
              <c:f>'[Chart in Microsoft Office Word]Sheet1'!$A$5</c:f>
              <c:strCache>
                <c:ptCount val="1"/>
                <c:pt idx="0">
                  <c:v>Polsko- mezi 25 až 64 let</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Word]Sheet1'!$B$5:$G$5</c:f>
              <c:numCache>
                <c:formatCode>General</c:formatCode>
                <c:ptCount val="6"/>
                <c:pt idx="0">
                  <c:v>6</c:v>
                </c:pt>
                <c:pt idx="1">
                  <c:v>6.8</c:v>
                </c:pt>
                <c:pt idx="2">
                  <c:v>8.1</c:v>
                </c:pt>
                <c:pt idx="3">
                  <c:v>8.1</c:v>
                </c:pt>
                <c:pt idx="4">
                  <c:v>8.6</c:v>
                </c:pt>
                <c:pt idx="5">
                  <c:v>8.8000000000000007</c:v>
                </c:pt>
              </c:numCache>
            </c:numRef>
          </c:val>
          <c:smooth val="0"/>
        </c:ser>
        <c:ser>
          <c:idx val="4"/>
          <c:order val="4"/>
          <c:tx>
            <c:strRef>
              <c:f>'[Chart in Microsoft Office Word]Sheet1'!$A$6</c:f>
              <c:strCache>
                <c:ptCount val="1"/>
                <c:pt idx="0">
                  <c:v>ČR- mezi 25 až 64 let</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Word]Sheet1'!$B$6:$G$6</c:f>
              <c:numCache>
                <c:formatCode>General</c:formatCode>
                <c:ptCount val="6"/>
                <c:pt idx="0">
                  <c:v>4</c:v>
                </c:pt>
                <c:pt idx="1">
                  <c:v>5.9</c:v>
                </c:pt>
                <c:pt idx="2">
                  <c:v>6.5</c:v>
                </c:pt>
                <c:pt idx="3">
                  <c:v>5.9</c:v>
                </c:pt>
                <c:pt idx="4">
                  <c:v>6.1</c:v>
                </c:pt>
                <c:pt idx="5">
                  <c:v>6.2</c:v>
                </c:pt>
              </c:numCache>
            </c:numRef>
          </c:val>
          <c:smooth val="0"/>
        </c:ser>
        <c:ser>
          <c:idx val="5"/>
          <c:order val="5"/>
          <c:tx>
            <c:strRef>
              <c:f>'[Chart in Microsoft Office Word]Sheet1'!$A$7</c:f>
              <c:strCache>
                <c:ptCount val="1"/>
                <c:pt idx="0">
                  <c:v>Euro 28- mezi 25 až 64 let</c:v>
                </c:pt>
              </c:strCache>
            </c:strRef>
          </c:tx>
          <c:marker>
            <c:symbol val="none"/>
          </c:marker>
          <c:cat>
            <c:strRef>
              <c:f>'[Chart in Microsoft Office Word]Sheet1'!$B$1:$G$1</c:f>
              <c:strCache>
                <c:ptCount val="6"/>
                <c:pt idx="0">
                  <c:v>2008</c:v>
                </c:pt>
                <c:pt idx="1">
                  <c:v>2009</c:v>
                </c:pt>
                <c:pt idx="2">
                  <c:v>2010</c:v>
                </c:pt>
                <c:pt idx="3">
                  <c:v>2011</c:v>
                </c:pt>
                <c:pt idx="4">
                  <c:v>2012</c:v>
                </c:pt>
                <c:pt idx="5">
                  <c:v>2013</c:v>
                </c:pt>
              </c:strCache>
            </c:strRef>
          </c:cat>
          <c:val>
            <c:numRef>
              <c:f>'[Chart in Microsoft Office Word]Sheet1'!$B$7:$G$7</c:f>
              <c:numCache>
                <c:formatCode>General</c:formatCode>
                <c:ptCount val="6"/>
                <c:pt idx="0">
                  <c:v>6</c:v>
                </c:pt>
                <c:pt idx="1">
                  <c:v>7.7</c:v>
                </c:pt>
                <c:pt idx="2">
                  <c:v>8.4</c:v>
                </c:pt>
                <c:pt idx="3">
                  <c:v>8.4</c:v>
                </c:pt>
                <c:pt idx="4">
                  <c:v>9.2000000000000011</c:v>
                </c:pt>
                <c:pt idx="5">
                  <c:v>9.6</c:v>
                </c:pt>
              </c:numCache>
            </c:numRef>
          </c:val>
          <c:smooth val="0"/>
        </c:ser>
        <c:dLbls>
          <c:showLegendKey val="0"/>
          <c:showVal val="0"/>
          <c:showCatName val="0"/>
          <c:showSerName val="0"/>
          <c:showPercent val="0"/>
          <c:showBubbleSize val="0"/>
        </c:dLbls>
        <c:smooth val="0"/>
        <c:axId val="-746752432"/>
        <c:axId val="-746762224"/>
      </c:lineChart>
      <c:catAx>
        <c:axId val="-746752432"/>
        <c:scaling>
          <c:orientation val="minMax"/>
        </c:scaling>
        <c:delete val="0"/>
        <c:axPos val="b"/>
        <c:numFmt formatCode="General" sourceLinked="0"/>
        <c:majorTickMark val="none"/>
        <c:minorTickMark val="none"/>
        <c:tickLblPos val="nextTo"/>
        <c:crossAx val="-746762224"/>
        <c:crosses val="autoZero"/>
        <c:auto val="1"/>
        <c:lblAlgn val="ctr"/>
        <c:lblOffset val="100"/>
        <c:noMultiLvlLbl val="0"/>
      </c:catAx>
      <c:valAx>
        <c:axId val="-746762224"/>
        <c:scaling>
          <c:orientation val="minMax"/>
        </c:scaling>
        <c:delete val="0"/>
        <c:axPos val="l"/>
        <c:majorGridlines/>
        <c:numFmt formatCode="General" sourceLinked="1"/>
        <c:majorTickMark val="none"/>
        <c:minorTickMark val="none"/>
        <c:tickLblPos val="nextTo"/>
        <c:crossAx val="-746752432"/>
        <c:crosses val="autoZero"/>
        <c:crossBetween val="between"/>
      </c:valAx>
    </c:plotArea>
    <c:legend>
      <c:legendPos val="r"/>
      <c:legendEntry>
        <c:idx val="2"/>
        <c:txPr>
          <a:bodyPr/>
          <a:lstStyle/>
          <a:p>
            <a:pPr>
              <a:defRPr>
                <a:solidFill>
                  <a:schemeClr val="bg1"/>
                </a:solidFill>
              </a:defRPr>
            </a:pPr>
            <a:endParaRPr lang="cs-CZ"/>
          </a:p>
        </c:txPr>
      </c:legendEntry>
      <c:legendEntry>
        <c:idx val="5"/>
        <c:txPr>
          <a:bodyPr/>
          <a:lstStyle/>
          <a:p>
            <a:pPr>
              <a:defRPr>
                <a:solidFill>
                  <a:schemeClr val="bg1"/>
                </a:solidFill>
              </a:defRPr>
            </a:pPr>
            <a:endParaRPr lang="cs-CZ"/>
          </a:p>
        </c:txPr>
      </c:legendEntry>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Míra nezaměstnanosti podle dosaženého vzdělání</a:t>
            </a:r>
          </a:p>
        </c:rich>
      </c:tx>
      <c:overlay val="0"/>
    </c:title>
    <c:autoTitleDeleted val="0"/>
    <c:plotArea>
      <c:layout/>
      <c:lineChart>
        <c:grouping val="standard"/>
        <c:varyColors val="0"/>
        <c:ser>
          <c:idx val="0"/>
          <c:order val="0"/>
          <c:tx>
            <c:strRef>
              <c:f>Sheet1!$A$2</c:f>
              <c:strCache>
                <c:ptCount val="1"/>
                <c:pt idx="0">
                  <c:v>0 až 2 Polsko</c:v>
                </c:pt>
              </c:strCache>
            </c:strRef>
          </c:tx>
          <c:marker>
            <c:symbol val="none"/>
          </c:marker>
          <c:cat>
            <c:strRef>
              <c:f>Sheet1!$B$1:$G$1</c:f>
              <c:strCache>
                <c:ptCount val="6"/>
                <c:pt idx="0">
                  <c:v>2008</c:v>
                </c:pt>
                <c:pt idx="1">
                  <c:v>2009</c:v>
                </c:pt>
                <c:pt idx="2">
                  <c:v>2010</c:v>
                </c:pt>
                <c:pt idx="3">
                  <c:v>2011</c:v>
                </c:pt>
                <c:pt idx="4">
                  <c:v>2012</c:v>
                </c:pt>
                <c:pt idx="5">
                  <c:v>2013</c:v>
                </c:pt>
              </c:strCache>
            </c:strRef>
          </c:cat>
          <c:val>
            <c:numRef>
              <c:f>Sheet1!$B$2:$G$2</c:f>
              <c:numCache>
                <c:formatCode>General</c:formatCode>
                <c:ptCount val="6"/>
                <c:pt idx="0">
                  <c:v>11.5</c:v>
                </c:pt>
                <c:pt idx="1">
                  <c:v>13.9</c:v>
                </c:pt>
                <c:pt idx="2">
                  <c:v>16.100000000000001</c:v>
                </c:pt>
                <c:pt idx="3">
                  <c:v>16.8</c:v>
                </c:pt>
                <c:pt idx="4">
                  <c:v>17.8</c:v>
                </c:pt>
                <c:pt idx="5">
                  <c:v>19.3</c:v>
                </c:pt>
              </c:numCache>
            </c:numRef>
          </c:val>
          <c:smooth val="0"/>
        </c:ser>
        <c:ser>
          <c:idx val="1"/>
          <c:order val="1"/>
          <c:tx>
            <c:strRef>
              <c:f>Sheet1!$A$3</c:f>
              <c:strCache>
                <c:ptCount val="1"/>
                <c:pt idx="0">
                  <c:v>0 až 2 ČR</c:v>
                </c:pt>
              </c:strCache>
            </c:strRef>
          </c:tx>
          <c:spPr>
            <a:ln>
              <a:solidFill>
                <a:schemeClr val="accent6"/>
              </a:solidFill>
            </a:ln>
          </c:spPr>
          <c:marker>
            <c:symbol val="none"/>
          </c:marker>
          <c:cat>
            <c:strRef>
              <c:f>Sheet1!$B$1:$G$1</c:f>
              <c:strCache>
                <c:ptCount val="6"/>
                <c:pt idx="0">
                  <c:v>2008</c:v>
                </c:pt>
                <c:pt idx="1">
                  <c:v>2009</c:v>
                </c:pt>
                <c:pt idx="2">
                  <c:v>2010</c:v>
                </c:pt>
                <c:pt idx="3">
                  <c:v>2011</c:v>
                </c:pt>
                <c:pt idx="4">
                  <c:v>2012</c:v>
                </c:pt>
                <c:pt idx="5">
                  <c:v>2013</c:v>
                </c:pt>
              </c:strCache>
            </c:strRef>
          </c:cat>
          <c:val>
            <c:numRef>
              <c:f>Sheet1!$B$3:$G$3</c:f>
              <c:numCache>
                <c:formatCode>General</c:formatCode>
                <c:ptCount val="6"/>
                <c:pt idx="0">
                  <c:v>17.3</c:v>
                </c:pt>
                <c:pt idx="1">
                  <c:v>21.8</c:v>
                </c:pt>
                <c:pt idx="2">
                  <c:v>22.7</c:v>
                </c:pt>
                <c:pt idx="3">
                  <c:v>21.5</c:v>
                </c:pt>
                <c:pt idx="4">
                  <c:v>25.5</c:v>
                </c:pt>
                <c:pt idx="5">
                  <c:v>23.4</c:v>
                </c:pt>
              </c:numCache>
            </c:numRef>
          </c:val>
          <c:smooth val="0"/>
        </c:ser>
        <c:ser>
          <c:idx val="2"/>
          <c:order val="2"/>
          <c:tx>
            <c:strRef>
              <c:f>Sheet1!$A$4</c:f>
              <c:strCache>
                <c:ptCount val="1"/>
                <c:pt idx="0">
                  <c:v>0 až 2 EU (28)</c:v>
                </c:pt>
              </c:strCache>
            </c:strRef>
          </c:tx>
          <c:spPr>
            <a:ln>
              <a:solidFill>
                <a:schemeClr val="accent2"/>
              </a:solidFill>
            </a:ln>
          </c:spPr>
          <c:marker>
            <c:symbol val="none"/>
          </c:marker>
          <c:cat>
            <c:strRef>
              <c:f>Sheet1!$B$1:$G$1</c:f>
              <c:strCache>
                <c:ptCount val="6"/>
                <c:pt idx="0">
                  <c:v>2008</c:v>
                </c:pt>
                <c:pt idx="1">
                  <c:v>2009</c:v>
                </c:pt>
                <c:pt idx="2">
                  <c:v>2010</c:v>
                </c:pt>
                <c:pt idx="3">
                  <c:v>2011</c:v>
                </c:pt>
                <c:pt idx="4">
                  <c:v>2012</c:v>
                </c:pt>
                <c:pt idx="5">
                  <c:v>2013</c:v>
                </c:pt>
              </c:strCache>
            </c:strRef>
          </c:cat>
          <c:val>
            <c:numRef>
              <c:f>Sheet1!$B$4:$G$4</c:f>
              <c:numCache>
                <c:formatCode>General</c:formatCode>
                <c:ptCount val="6"/>
                <c:pt idx="0">
                  <c:v>9.8000000000000007</c:v>
                </c:pt>
                <c:pt idx="1">
                  <c:v>12.8</c:v>
                </c:pt>
                <c:pt idx="2">
                  <c:v>14.2</c:v>
                </c:pt>
                <c:pt idx="3">
                  <c:v>14.7</c:v>
                </c:pt>
                <c:pt idx="4">
                  <c:v>16.7</c:v>
                </c:pt>
                <c:pt idx="5">
                  <c:v>17.899999999999999</c:v>
                </c:pt>
              </c:numCache>
            </c:numRef>
          </c:val>
          <c:smooth val="0"/>
        </c:ser>
        <c:ser>
          <c:idx val="3"/>
          <c:order val="3"/>
          <c:tx>
            <c:strRef>
              <c:f>Sheet1!$A$5</c:f>
              <c:strCache>
                <c:ptCount val="1"/>
                <c:pt idx="0">
                  <c:v>3 až 4 Polsko</c:v>
                </c:pt>
              </c:strCache>
            </c:strRef>
          </c:tx>
          <c:spPr>
            <a:ln>
              <a:solidFill>
                <a:schemeClr val="accent1">
                  <a:lumMod val="75000"/>
                </a:schemeClr>
              </a:solidFill>
              <a:prstDash val="sysDot"/>
            </a:ln>
          </c:spPr>
          <c:marker>
            <c:symbol val="none"/>
          </c:marker>
          <c:cat>
            <c:strRef>
              <c:f>Sheet1!$B$1:$G$1</c:f>
              <c:strCache>
                <c:ptCount val="6"/>
                <c:pt idx="0">
                  <c:v>2008</c:v>
                </c:pt>
                <c:pt idx="1">
                  <c:v>2009</c:v>
                </c:pt>
                <c:pt idx="2">
                  <c:v>2010</c:v>
                </c:pt>
                <c:pt idx="3">
                  <c:v>2011</c:v>
                </c:pt>
                <c:pt idx="4">
                  <c:v>2012</c:v>
                </c:pt>
                <c:pt idx="5">
                  <c:v>2013</c:v>
                </c:pt>
              </c:strCache>
            </c:strRef>
          </c:cat>
          <c:val>
            <c:numRef>
              <c:f>Sheet1!$B$5:$G$5</c:f>
              <c:numCache>
                <c:formatCode>General</c:formatCode>
                <c:ptCount val="6"/>
                <c:pt idx="0">
                  <c:v>6.3</c:v>
                </c:pt>
                <c:pt idx="1">
                  <c:v>7.2</c:v>
                </c:pt>
                <c:pt idx="2">
                  <c:v>8.9</c:v>
                </c:pt>
                <c:pt idx="3">
                  <c:v>8.7000000000000011</c:v>
                </c:pt>
                <c:pt idx="4">
                  <c:v>9.3000000000000007</c:v>
                </c:pt>
                <c:pt idx="5">
                  <c:v>9.7000000000000011</c:v>
                </c:pt>
              </c:numCache>
            </c:numRef>
          </c:val>
          <c:smooth val="0"/>
        </c:ser>
        <c:ser>
          <c:idx val="4"/>
          <c:order val="4"/>
          <c:tx>
            <c:strRef>
              <c:f>Sheet1!$A$6</c:f>
              <c:strCache>
                <c:ptCount val="1"/>
                <c:pt idx="0">
                  <c:v>3 až 4 ČR</c:v>
                </c:pt>
              </c:strCache>
            </c:strRef>
          </c:tx>
          <c:spPr>
            <a:ln>
              <a:solidFill>
                <a:schemeClr val="accent6"/>
              </a:solidFill>
              <a:prstDash val="sysDot"/>
            </a:ln>
          </c:spPr>
          <c:marker>
            <c:symbol val="none"/>
          </c:marker>
          <c:cat>
            <c:strRef>
              <c:f>Sheet1!$B$1:$G$1</c:f>
              <c:strCache>
                <c:ptCount val="6"/>
                <c:pt idx="0">
                  <c:v>2008</c:v>
                </c:pt>
                <c:pt idx="1">
                  <c:v>2009</c:v>
                </c:pt>
                <c:pt idx="2">
                  <c:v>2010</c:v>
                </c:pt>
                <c:pt idx="3">
                  <c:v>2011</c:v>
                </c:pt>
                <c:pt idx="4">
                  <c:v>2012</c:v>
                </c:pt>
                <c:pt idx="5">
                  <c:v>2013</c:v>
                </c:pt>
              </c:strCache>
            </c:strRef>
          </c:cat>
          <c:val>
            <c:numRef>
              <c:f>Sheet1!$B$6:$G$6</c:f>
              <c:numCache>
                <c:formatCode>General</c:formatCode>
                <c:ptCount val="6"/>
                <c:pt idx="0">
                  <c:v>3.3</c:v>
                </c:pt>
                <c:pt idx="1">
                  <c:v>5.4</c:v>
                </c:pt>
                <c:pt idx="2">
                  <c:v>6.2</c:v>
                </c:pt>
                <c:pt idx="3">
                  <c:v>5.7</c:v>
                </c:pt>
                <c:pt idx="4">
                  <c:v>5.7</c:v>
                </c:pt>
                <c:pt idx="5">
                  <c:v>6.1</c:v>
                </c:pt>
              </c:numCache>
            </c:numRef>
          </c:val>
          <c:smooth val="0"/>
        </c:ser>
        <c:ser>
          <c:idx val="5"/>
          <c:order val="5"/>
          <c:tx>
            <c:strRef>
              <c:f>Sheet1!$A$7</c:f>
              <c:strCache>
                <c:ptCount val="1"/>
                <c:pt idx="0">
                  <c:v>3 až 4 EU (28)</c:v>
                </c:pt>
              </c:strCache>
            </c:strRef>
          </c:tx>
          <c:spPr>
            <a:ln>
              <a:solidFill>
                <a:schemeClr val="accent2"/>
              </a:solidFill>
              <a:prstDash val="sysDot"/>
            </a:ln>
          </c:spPr>
          <c:marker>
            <c:symbol val="none"/>
          </c:marker>
          <c:cat>
            <c:strRef>
              <c:f>Sheet1!$B$1:$G$1</c:f>
              <c:strCache>
                <c:ptCount val="6"/>
                <c:pt idx="0">
                  <c:v>2008</c:v>
                </c:pt>
                <c:pt idx="1">
                  <c:v>2009</c:v>
                </c:pt>
                <c:pt idx="2">
                  <c:v>2010</c:v>
                </c:pt>
                <c:pt idx="3">
                  <c:v>2011</c:v>
                </c:pt>
                <c:pt idx="4">
                  <c:v>2012</c:v>
                </c:pt>
                <c:pt idx="5">
                  <c:v>2013</c:v>
                </c:pt>
              </c:strCache>
            </c:strRef>
          </c:cat>
          <c:val>
            <c:numRef>
              <c:f>Sheet1!$B$7:$G$7</c:f>
              <c:numCache>
                <c:formatCode>General</c:formatCode>
                <c:ptCount val="6"/>
                <c:pt idx="0">
                  <c:v>5.6</c:v>
                </c:pt>
                <c:pt idx="1">
                  <c:v>7.2</c:v>
                </c:pt>
                <c:pt idx="2">
                  <c:v>7.8</c:v>
                </c:pt>
                <c:pt idx="3">
                  <c:v>7.7</c:v>
                </c:pt>
                <c:pt idx="4">
                  <c:v>8.2000000000000011</c:v>
                </c:pt>
                <c:pt idx="5">
                  <c:v>8.6</c:v>
                </c:pt>
              </c:numCache>
            </c:numRef>
          </c:val>
          <c:smooth val="0"/>
        </c:ser>
        <c:ser>
          <c:idx val="6"/>
          <c:order val="6"/>
          <c:tx>
            <c:strRef>
              <c:f>Sheet1!$A$8</c:f>
              <c:strCache>
                <c:ptCount val="1"/>
                <c:pt idx="0">
                  <c:v>5 až 8 Polsko</c:v>
                </c:pt>
              </c:strCache>
            </c:strRef>
          </c:tx>
          <c:spPr>
            <a:ln w="28575" cap="rnd" cmpd="sng">
              <a:solidFill>
                <a:schemeClr val="accent1">
                  <a:lumMod val="75000"/>
                </a:schemeClr>
              </a:solidFill>
              <a:prstDash val="lgDashDot"/>
              <a:headEnd type="oval" w="sm" len="sm"/>
              <a:tailEnd type="none"/>
            </a:ln>
          </c:spPr>
          <c:marker>
            <c:symbol val="none"/>
          </c:marker>
          <c:cat>
            <c:strRef>
              <c:f>Sheet1!$B$1:$G$1</c:f>
              <c:strCache>
                <c:ptCount val="6"/>
                <c:pt idx="0">
                  <c:v>2008</c:v>
                </c:pt>
                <c:pt idx="1">
                  <c:v>2009</c:v>
                </c:pt>
                <c:pt idx="2">
                  <c:v>2010</c:v>
                </c:pt>
                <c:pt idx="3">
                  <c:v>2011</c:v>
                </c:pt>
                <c:pt idx="4">
                  <c:v>2012</c:v>
                </c:pt>
                <c:pt idx="5">
                  <c:v>2013</c:v>
                </c:pt>
              </c:strCache>
            </c:strRef>
          </c:cat>
          <c:val>
            <c:numRef>
              <c:f>Sheet1!$B$8:$G$8</c:f>
              <c:numCache>
                <c:formatCode>General</c:formatCode>
                <c:ptCount val="6"/>
                <c:pt idx="0">
                  <c:v>3.1</c:v>
                </c:pt>
                <c:pt idx="1">
                  <c:v>3.6</c:v>
                </c:pt>
                <c:pt idx="2">
                  <c:v>4.2</c:v>
                </c:pt>
                <c:pt idx="3">
                  <c:v>4.4000000000000004</c:v>
                </c:pt>
                <c:pt idx="4">
                  <c:v>4.9000000000000004</c:v>
                </c:pt>
                <c:pt idx="5">
                  <c:v>5</c:v>
                </c:pt>
              </c:numCache>
            </c:numRef>
          </c:val>
          <c:smooth val="0"/>
        </c:ser>
        <c:ser>
          <c:idx val="7"/>
          <c:order val="7"/>
          <c:tx>
            <c:strRef>
              <c:f>Sheet1!$A$9</c:f>
              <c:strCache>
                <c:ptCount val="1"/>
                <c:pt idx="0">
                  <c:v>5 až 8 ČR</c:v>
                </c:pt>
              </c:strCache>
            </c:strRef>
          </c:tx>
          <c:spPr>
            <a:ln w="28575" cmpd="sng">
              <a:solidFill>
                <a:schemeClr val="accent6"/>
              </a:solidFill>
              <a:prstDash val="lgDashDotDot"/>
              <a:headEnd type="oval" w="sm" len="sm"/>
            </a:ln>
          </c:spPr>
          <c:marker>
            <c:symbol val="none"/>
          </c:marker>
          <c:cat>
            <c:strRef>
              <c:f>Sheet1!$B$1:$G$1</c:f>
              <c:strCache>
                <c:ptCount val="6"/>
                <c:pt idx="0">
                  <c:v>2008</c:v>
                </c:pt>
                <c:pt idx="1">
                  <c:v>2009</c:v>
                </c:pt>
                <c:pt idx="2">
                  <c:v>2010</c:v>
                </c:pt>
                <c:pt idx="3">
                  <c:v>2011</c:v>
                </c:pt>
                <c:pt idx="4">
                  <c:v>2012</c:v>
                </c:pt>
                <c:pt idx="5">
                  <c:v>2013</c:v>
                </c:pt>
              </c:strCache>
            </c:strRef>
          </c:cat>
          <c:val>
            <c:numRef>
              <c:f>Sheet1!$B$9:$G$9</c:f>
              <c:numCache>
                <c:formatCode>General</c:formatCode>
                <c:ptCount val="6"/>
                <c:pt idx="0">
                  <c:v>1.5</c:v>
                </c:pt>
                <c:pt idx="1">
                  <c:v>2.2000000000000002</c:v>
                </c:pt>
                <c:pt idx="2">
                  <c:v>2.5</c:v>
                </c:pt>
                <c:pt idx="3">
                  <c:v>2.6</c:v>
                </c:pt>
                <c:pt idx="4">
                  <c:v>2.6</c:v>
                </c:pt>
                <c:pt idx="5">
                  <c:v>2.5</c:v>
                </c:pt>
              </c:numCache>
            </c:numRef>
          </c:val>
          <c:smooth val="0"/>
        </c:ser>
        <c:ser>
          <c:idx val="8"/>
          <c:order val="8"/>
          <c:tx>
            <c:strRef>
              <c:f>Sheet1!$A$10</c:f>
              <c:strCache>
                <c:ptCount val="1"/>
                <c:pt idx="0">
                  <c:v>5 až 8 EU (28)</c:v>
                </c:pt>
              </c:strCache>
            </c:strRef>
          </c:tx>
          <c:spPr>
            <a:ln w="28575" cmpd="sng">
              <a:solidFill>
                <a:schemeClr val="accent2"/>
              </a:solidFill>
              <a:prstDash val="lgDashDotDot"/>
              <a:headEnd type="oval" w="sm" len="sm"/>
            </a:ln>
          </c:spPr>
          <c:marker>
            <c:symbol val="none"/>
          </c:marker>
          <c:cat>
            <c:strRef>
              <c:f>Sheet1!$B$1:$G$1</c:f>
              <c:strCache>
                <c:ptCount val="6"/>
                <c:pt idx="0">
                  <c:v>2008</c:v>
                </c:pt>
                <c:pt idx="1">
                  <c:v>2009</c:v>
                </c:pt>
                <c:pt idx="2">
                  <c:v>2010</c:v>
                </c:pt>
                <c:pt idx="3">
                  <c:v>2011</c:v>
                </c:pt>
                <c:pt idx="4">
                  <c:v>2012</c:v>
                </c:pt>
                <c:pt idx="5">
                  <c:v>2013</c:v>
                </c:pt>
              </c:strCache>
            </c:strRef>
          </c:cat>
          <c:val>
            <c:numRef>
              <c:f>Sheet1!$B$10:$G$10</c:f>
              <c:numCache>
                <c:formatCode>General</c:formatCode>
                <c:ptCount val="6"/>
                <c:pt idx="0">
                  <c:v>3.5</c:v>
                </c:pt>
                <c:pt idx="1">
                  <c:v>4.5</c:v>
                </c:pt>
                <c:pt idx="2">
                  <c:v>4.9000000000000004</c:v>
                </c:pt>
                <c:pt idx="3">
                  <c:v>5.0999999999999996</c:v>
                </c:pt>
                <c:pt idx="4">
                  <c:v>5.6</c:v>
                </c:pt>
                <c:pt idx="5">
                  <c:v>5.9</c:v>
                </c:pt>
              </c:numCache>
            </c:numRef>
          </c:val>
          <c:smooth val="0"/>
        </c:ser>
        <c:dLbls>
          <c:showLegendKey val="0"/>
          <c:showVal val="0"/>
          <c:showCatName val="0"/>
          <c:showSerName val="0"/>
          <c:showPercent val="0"/>
          <c:showBubbleSize val="0"/>
        </c:dLbls>
        <c:smooth val="0"/>
        <c:axId val="-511643024"/>
        <c:axId val="-511648464"/>
      </c:lineChart>
      <c:catAx>
        <c:axId val="-511643024"/>
        <c:scaling>
          <c:orientation val="minMax"/>
        </c:scaling>
        <c:delete val="0"/>
        <c:axPos val="b"/>
        <c:numFmt formatCode="General" sourceLinked="0"/>
        <c:majorTickMark val="none"/>
        <c:minorTickMark val="none"/>
        <c:tickLblPos val="nextTo"/>
        <c:crossAx val="-511648464"/>
        <c:crosses val="autoZero"/>
        <c:auto val="1"/>
        <c:lblAlgn val="ctr"/>
        <c:lblOffset val="100"/>
        <c:noMultiLvlLbl val="0"/>
      </c:catAx>
      <c:valAx>
        <c:axId val="-511648464"/>
        <c:scaling>
          <c:orientation val="minMax"/>
        </c:scaling>
        <c:delete val="0"/>
        <c:axPos val="l"/>
        <c:majorGridlines/>
        <c:numFmt formatCode="General" sourceLinked="1"/>
        <c:majorTickMark val="none"/>
        <c:minorTickMark val="none"/>
        <c:tickLblPos val="nextTo"/>
        <c:crossAx val="-51164302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0.87522</cdr:x>
      <cdr:y>0.58061</cdr:y>
    </cdr:from>
    <cdr:to>
      <cdr:x>1</cdr:x>
      <cdr:y>0.74919</cdr:y>
    </cdr:to>
    <cdr:sp macro="" textlink="">
      <cdr:nvSpPr>
        <cdr:cNvPr id="2" name="Text Box 1"/>
        <cdr:cNvSpPr txBox="1"/>
      </cdr:nvSpPr>
      <cdr:spPr>
        <a:xfrm xmlns:a="http://schemas.openxmlformats.org/drawingml/2006/main">
          <a:off x="4726198" y="1574672"/>
          <a:ext cx="673842"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tx1">
                  <a:lumMod val="75000"/>
                  <a:lumOff val="25000"/>
                </a:schemeClr>
              </a:solidFill>
            </a:rPr>
            <a:t>EU</a:t>
          </a:r>
          <a:r>
            <a:rPr lang="en-US" sz="1000" baseline="0">
              <a:solidFill>
                <a:schemeClr val="tx1">
                  <a:lumMod val="75000"/>
                  <a:lumOff val="25000"/>
                </a:schemeClr>
              </a:solidFill>
            </a:rPr>
            <a:t> (28)</a:t>
          </a:r>
          <a:endParaRPr lang="en-US" sz="1000">
            <a:solidFill>
              <a:schemeClr val="tx1">
                <a:lumMod val="75000"/>
                <a:lumOff val="25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0.84021</cdr:x>
      <cdr:y>0.71702</cdr:y>
    </cdr:from>
    <cdr:to>
      <cdr:x>0.98315</cdr:x>
      <cdr:y>0.86871</cdr:y>
    </cdr:to>
    <cdr:sp macro="" textlink="">
      <cdr:nvSpPr>
        <cdr:cNvPr id="2" name="Text Box 1"/>
        <cdr:cNvSpPr txBox="1"/>
      </cdr:nvSpPr>
      <cdr:spPr>
        <a:xfrm xmlns:a="http://schemas.openxmlformats.org/drawingml/2006/main">
          <a:off x="3583198" y="1620905"/>
          <a:ext cx="6096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tx1">
                  <a:lumMod val="75000"/>
                  <a:lumOff val="25000"/>
                </a:schemeClr>
              </a:solidFill>
            </a:rPr>
            <a:t>EU</a:t>
          </a:r>
          <a:r>
            <a:rPr lang="en-US" sz="1000" baseline="0">
              <a:solidFill>
                <a:schemeClr val="tx1">
                  <a:lumMod val="75000"/>
                  <a:lumOff val="25000"/>
                </a:schemeClr>
              </a:solidFill>
            </a:rPr>
            <a:t> (28)</a:t>
          </a:r>
          <a:endParaRPr lang="en-US" sz="1000">
            <a:solidFill>
              <a:schemeClr val="tx1">
                <a:lumMod val="75000"/>
                <a:lumOff val="2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0.86667</cdr:x>
      <cdr:y>0.54781</cdr:y>
    </cdr:from>
    <cdr:to>
      <cdr:x>1</cdr:x>
      <cdr:y>0.67281</cdr:y>
    </cdr:to>
    <cdr:sp macro="" textlink="">
      <cdr:nvSpPr>
        <cdr:cNvPr id="2" name="Text Box 1"/>
        <cdr:cNvSpPr txBox="1"/>
      </cdr:nvSpPr>
      <cdr:spPr>
        <a:xfrm xmlns:a="http://schemas.openxmlformats.org/drawingml/2006/main">
          <a:off x="3962400" y="1502752"/>
          <a:ext cx="6096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tx1">
                  <a:lumMod val="75000"/>
                  <a:lumOff val="25000"/>
                </a:schemeClr>
              </a:solidFill>
            </a:rPr>
            <a:t>	EU (28)</a:t>
          </a:r>
        </a:p>
      </cdr:txBody>
    </cdr:sp>
  </cdr:relSizeAnchor>
</c:userShapes>
</file>

<file path=word/drawings/drawing4.xml><?xml version="1.0" encoding="utf-8"?>
<c:userShapes xmlns:c="http://schemas.openxmlformats.org/drawingml/2006/chart">
  <cdr:relSizeAnchor xmlns:cdr="http://schemas.openxmlformats.org/drawingml/2006/chartDrawing">
    <cdr:from>
      <cdr:x>0.88313</cdr:x>
      <cdr:y>0.65216</cdr:y>
    </cdr:from>
    <cdr:to>
      <cdr:x>0.98612</cdr:x>
      <cdr:y>0.74277</cdr:y>
    </cdr:to>
    <cdr:sp macro="" textlink="">
      <cdr:nvSpPr>
        <cdr:cNvPr id="2" name="Text Box 1"/>
        <cdr:cNvSpPr txBox="1"/>
      </cdr:nvSpPr>
      <cdr:spPr>
        <a:xfrm xmlns:a="http://schemas.openxmlformats.org/drawingml/2006/main">
          <a:off x="4573798" y="1645306"/>
          <a:ext cx="533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900">
              <a:solidFill>
                <a:schemeClr val="tx1">
                  <a:lumMod val="75000"/>
                  <a:lumOff val="25000"/>
                </a:schemeClr>
              </a:solidFill>
            </a:rPr>
            <a:t>EU</a:t>
          </a:r>
          <a:r>
            <a:rPr lang="en-US" sz="900" baseline="0">
              <a:solidFill>
                <a:schemeClr val="tx1">
                  <a:lumMod val="75000"/>
                  <a:lumOff val="25000"/>
                </a:schemeClr>
              </a:solidFill>
            </a:rPr>
            <a:t> (28)</a:t>
          </a:r>
          <a:endParaRPr lang="en-US" sz="900">
            <a:solidFill>
              <a:schemeClr val="tx1">
                <a:lumMod val="75000"/>
                <a:lumOff val="25000"/>
              </a:schemeClr>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0.85807</cdr:x>
      <cdr:y>0.64269</cdr:y>
    </cdr:from>
    <cdr:to>
      <cdr:x>0.97474</cdr:x>
      <cdr:y>0.74233</cdr:y>
    </cdr:to>
    <cdr:sp macro="" textlink="">
      <cdr:nvSpPr>
        <cdr:cNvPr id="2" name="Text Box 1"/>
        <cdr:cNvSpPr txBox="1"/>
      </cdr:nvSpPr>
      <cdr:spPr>
        <a:xfrm xmlns:a="http://schemas.openxmlformats.org/drawingml/2006/main">
          <a:off x="3923101" y="1474499"/>
          <a:ext cx="533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chemeClr val="tx1">
                  <a:lumMod val="75000"/>
                  <a:lumOff val="25000"/>
                </a:schemeClr>
              </a:solidFill>
            </a:rPr>
            <a:t>EU (28)</a:t>
          </a:r>
        </a:p>
      </cdr:txBody>
    </cdr:sp>
  </cdr:relSizeAnchor>
</c:userShapes>
</file>

<file path=word/drawings/drawing6.xml><?xml version="1.0" encoding="utf-8"?>
<c:userShapes xmlns:c="http://schemas.openxmlformats.org/drawingml/2006/chart">
  <cdr:relSizeAnchor xmlns:cdr="http://schemas.openxmlformats.org/drawingml/2006/chartDrawing">
    <cdr:from>
      <cdr:x>0.80967</cdr:x>
      <cdr:y>0.52856</cdr:y>
    </cdr:from>
    <cdr:to>
      <cdr:x>0.98529</cdr:x>
      <cdr:y>0.59034</cdr:y>
    </cdr:to>
    <cdr:sp macro="" textlink="">
      <cdr:nvSpPr>
        <cdr:cNvPr id="2" name="Text Box 1"/>
        <cdr:cNvSpPr txBox="1"/>
      </cdr:nvSpPr>
      <cdr:spPr>
        <a:xfrm xmlns:a="http://schemas.openxmlformats.org/drawingml/2006/main">
          <a:off x="4192798" y="1956100"/>
          <a:ext cx="909427"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chemeClr val="tx1">
                  <a:lumMod val="75000"/>
                  <a:lumOff val="25000"/>
                </a:schemeClr>
              </a:solidFill>
            </a:rPr>
            <a:t>EU</a:t>
          </a:r>
          <a:r>
            <a:rPr lang="en-US" sz="900" baseline="0">
              <a:solidFill>
                <a:schemeClr val="tx1">
                  <a:lumMod val="75000"/>
                  <a:lumOff val="25000"/>
                </a:schemeClr>
              </a:solidFill>
            </a:rPr>
            <a:t> (28)- muži</a:t>
          </a:r>
        </a:p>
        <a:p xmlns:a="http://schemas.openxmlformats.org/drawingml/2006/main">
          <a:endParaRPr lang="en-US" sz="900">
            <a:solidFill>
              <a:schemeClr val="tx1">
                <a:lumMod val="75000"/>
                <a:lumOff val="25000"/>
              </a:schemeClr>
            </a:solidFill>
          </a:endParaRPr>
        </a:p>
      </cdr:txBody>
    </cdr:sp>
  </cdr:relSizeAnchor>
  <cdr:relSizeAnchor xmlns:cdr="http://schemas.openxmlformats.org/drawingml/2006/chartDrawing">
    <cdr:from>
      <cdr:x>0.82438</cdr:x>
      <cdr:y>0.74476</cdr:y>
    </cdr:from>
    <cdr:to>
      <cdr:x>0.98529</cdr:x>
      <cdr:y>0.80653</cdr:y>
    </cdr:to>
    <cdr:sp macro="" textlink="">
      <cdr:nvSpPr>
        <cdr:cNvPr id="3" name="Text Box 2"/>
        <cdr:cNvSpPr txBox="1"/>
      </cdr:nvSpPr>
      <cdr:spPr>
        <a:xfrm xmlns:a="http://schemas.openxmlformats.org/drawingml/2006/main">
          <a:off x="4268998" y="2756200"/>
          <a:ext cx="833227"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chemeClr val="tx1">
                  <a:lumMod val="75000"/>
                  <a:lumOff val="25000"/>
                </a:schemeClr>
              </a:solidFill>
            </a:rPr>
            <a:t>EU</a:t>
          </a:r>
          <a:r>
            <a:rPr lang="en-US" sz="900" baseline="0">
              <a:solidFill>
                <a:schemeClr val="tx1">
                  <a:lumMod val="75000"/>
                  <a:lumOff val="25000"/>
                </a:schemeClr>
              </a:solidFill>
            </a:rPr>
            <a:t> (28)- ženy</a:t>
          </a:r>
          <a:endParaRPr lang="en-US" sz="900">
            <a:solidFill>
              <a:schemeClr val="tx1">
                <a:lumMod val="75000"/>
                <a:lumOff val="25000"/>
              </a:schemeClr>
            </a:solidFill>
          </a:endParaRPr>
        </a:p>
      </cdr:txBody>
    </cdr:sp>
  </cdr:relSizeAnchor>
  <cdr:relSizeAnchor xmlns:cdr="http://schemas.openxmlformats.org/drawingml/2006/chartDrawing">
    <cdr:from>
      <cdr:x>0.82438</cdr:x>
      <cdr:y>0.74476</cdr:y>
    </cdr:from>
    <cdr:to>
      <cdr:x>0.95682</cdr:x>
      <cdr:y>0.77565</cdr:y>
    </cdr:to>
    <cdr:sp macro="" textlink="">
      <cdr:nvSpPr>
        <cdr:cNvPr id="4" name="Text Box 3"/>
        <cdr:cNvSpPr txBox="1"/>
      </cdr:nvSpPr>
      <cdr:spPr>
        <a:xfrm xmlns:a="http://schemas.openxmlformats.org/drawingml/2006/main">
          <a:off x="4268998" y="2756200"/>
          <a:ext cx="685800"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900"/>
        </a:p>
      </cdr:txBody>
    </cdr:sp>
  </cdr:relSizeAnchor>
</c:userShapes>
</file>

<file path=word/drawings/drawing7.xml><?xml version="1.0" encoding="utf-8"?>
<c:userShapes xmlns:c="http://schemas.openxmlformats.org/drawingml/2006/chart">
  <cdr:relSizeAnchor xmlns:cdr="http://schemas.openxmlformats.org/drawingml/2006/chartDrawing">
    <cdr:from>
      <cdr:x>0.71686</cdr:x>
      <cdr:y>0.52083</cdr:y>
    </cdr:from>
    <cdr:to>
      <cdr:x>0.94669</cdr:x>
      <cdr:y>0.59429</cdr:y>
    </cdr:to>
    <cdr:sp macro="" textlink="">
      <cdr:nvSpPr>
        <cdr:cNvPr id="4" name="Text Box 3"/>
        <cdr:cNvSpPr txBox="1"/>
      </cdr:nvSpPr>
      <cdr:spPr>
        <a:xfrm xmlns:a="http://schemas.openxmlformats.org/drawingml/2006/main">
          <a:off x="4040398" y="1620905"/>
          <a:ext cx="1295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chemeClr val="tx1">
                  <a:lumMod val="75000"/>
                  <a:lumOff val="25000"/>
                </a:schemeClr>
              </a:solidFill>
            </a:rPr>
            <a:t>EU</a:t>
          </a:r>
          <a:r>
            <a:rPr lang="en-US" sz="900" baseline="0">
              <a:solidFill>
                <a:schemeClr val="tx1">
                  <a:lumMod val="75000"/>
                  <a:lumOff val="25000"/>
                </a:schemeClr>
              </a:solidFill>
            </a:rPr>
            <a:t> (28)- mezi 15 až 24</a:t>
          </a:r>
          <a:endParaRPr lang="en-US" sz="900">
            <a:solidFill>
              <a:schemeClr val="tx1">
                <a:lumMod val="75000"/>
                <a:lumOff val="25000"/>
              </a:schemeClr>
            </a:solidFill>
          </a:endParaRPr>
        </a:p>
      </cdr:txBody>
    </cdr:sp>
  </cdr:relSizeAnchor>
  <cdr:relSizeAnchor xmlns:cdr="http://schemas.openxmlformats.org/drawingml/2006/chartDrawing">
    <cdr:from>
      <cdr:x>0.71686</cdr:x>
      <cdr:y>0.77792</cdr:y>
    </cdr:from>
    <cdr:to>
      <cdr:x>0.97373</cdr:x>
      <cdr:y>0.85138</cdr:y>
    </cdr:to>
    <cdr:sp macro="" textlink="">
      <cdr:nvSpPr>
        <cdr:cNvPr id="5" name="Text Box 4"/>
        <cdr:cNvSpPr txBox="1"/>
      </cdr:nvSpPr>
      <cdr:spPr>
        <a:xfrm xmlns:a="http://schemas.openxmlformats.org/drawingml/2006/main">
          <a:off x="4040398" y="2421005"/>
          <a:ext cx="1447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chemeClr val="tx1">
                  <a:lumMod val="75000"/>
                  <a:lumOff val="25000"/>
                </a:schemeClr>
              </a:solidFill>
            </a:rPr>
            <a:t>EU (28)-</a:t>
          </a:r>
          <a:r>
            <a:rPr lang="en-US" sz="900" baseline="0">
              <a:solidFill>
                <a:schemeClr val="tx1">
                  <a:lumMod val="75000"/>
                  <a:lumOff val="25000"/>
                </a:schemeClr>
              </a:solidFill>
            </a:rPr>
            <a:t> mezi 25 až 64 let</a:t>
          </a:r>
          <a:endParaRPr lang="en-US" sz="900">
            <a:solidFill>
              <a:schemeClr val="tx1">
                <a:lumMod val="75000"/>
                <a:lumOff val="25000"/>
              </a:schemeClr>
            </a:solidFill>
          </a:endParaRP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285F0-3B9C-4780-BF6B-5FD0EB37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1</TotalTime>
  <Pages>37</Pages>
  <Words>9389</Words>
  <Characters>56244</Characters>
  <Application>Microsoft Office Word</Application>
  <DocSecurity>8</DocSecurity>
  <Lines>1278</Lines>
  <Paragraphs>551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65082</CharactersWithSpaces>
  <SharedDoc>false</SharedDoc>
  <HLinks>
    <vt:vector size="510" baseType="variant">
      <vt:variant>
        <vt:i4>1245245</vt:i4>
      </vt:variant>
      <vt:variant>
        <vt:i4>506</vt:i4>
      </vt:variant>
      <vt:variant>
        <vt:i4>0</vt:i4>
      </vt:variant>
      <vt:variant>
        <vt:i4>5</vt:i4>
      </vt:variant>
      <vt:variant>
        <vt:lpwstr/>
      </vt:variant>
      <vt:variant>
        <vt:lpwstr>_Toc358477122</vt:lpwstr>
      </vt:variant>
      <vt:variant>
        <vt:i4>1245245</vt:i4>
      </vt:variant>
      <vt:variant>
        <vt:i4>500</vt:i4>
      </vt:variant>
      <vt:variant>
        <vt:i4>0</vt:i4>
      </vt:variant>
      <vt:variant>
        <vt:i4>5</vt:i4>
      </vt:variant>
      <vt:variant>
        <vt:lpwstr/>
      </vt:variant>
      <vt:variant>
        <vt:lpwstr>_Toc358477121</vt:lpwstr>
      </vt:variant>
      <vt:variant>
        <vt:i4>1245245</vt:i4>
      </vt:variant>
      <vt:variant>
        <vt:i4>494</vt:i4>
      </vt:variant>
      <vt:variant>
        <vt:i4>0</vt:i4>
      </vt:variant>
      <vt:variant>
        <vt:i4>5</vt:i4>
      </vt:variant>
      <vt:variant>
        <vt:lpwstr/>
      </vt:variant>
      <vt:variant>
        <vt:lpwstr>_Toc358477120</vt:lpwstr>
      </vt:variant>
      <vt:variant>
        <vt:i4>1048637</vt:i4>
      </vt:variant>
      <vt:variant>
        <vt:i4>488</vt:i4>
      </vt:variant>
      <vt:variant>
        <vt:i4>0</vt:i4>
      </vt:variant>
      <vt:variant>
        <vt:i4>5</vt:i4>
      </vt:variant>
      <vt:variant>
        <vt:lpwstr/>
      </vt:variant>
      <vt:variant>
        <vt:lpwstr>_Toc358477119</vt:lpwstr>
      </vt:variant>
      <vt:variant>
        <vt:i4>1048637</vt:i4>
      </vt:variant>
      <vt:variant>
        <vt:i4>482</vt:i4>
      </vt:variant>
      <vt:variant>
        <vt:i4>0</vt:i4>
      </vt:variant>
      <vt:variant>
        <vt:i4>5</vt:i4>
      </vt:variant>
      <vt:variant>
        <vt:lpwstr/>
      </vt:variant>
      <vt:variant>
        <vt:lpwstr>_Toc358477118</vt:lpwstr>
      </vt:variant>
      <vt:variant>
        <vt:i4>1048637</vt:i4>
      </vt:variant>
      <vt:variant>
        <vt:i4>476</vt:i4>
      </vt:variant>
      <vt:variant>
        <vt:i4>0</vt:i4>
      </vt:variant>
      <vt:variant>
        <vt:i4>5</vt:i4>
      </vt:variant>
      <vt:variant>
        <vt:lpwstr/>
      </vt:variant>
      <vt:variant>
        <vt:lpwstr>_Toc358477117</vt:lpwstr>
      </vt:variant>
      <vt:variant>
        <vt:i4>1048637</vt:i4>
      </vt:variant>
      <vt:variant>
        <vt:i4>470</vt:i4>
      </vt:variant>
      <vt:variant>
        <vt:i4>0</vt:i4>
      </vt:variant>
      <vt:variant>
        <vt:i4>5</vt:i4>
      </vt:variant>
      <vt:variant>
        <vt:lpwstr/>
      </vt:variant>
      <vt:variant>
        <vt:lpwstr>_Toc358477116</vt:lpwstr>
      </vt:variant>
      <vt:variant>
        <vt:i4>1048637</vt:i4>
      </vt:variant>
      <vt:variant>
        <vt:i4>464</vt:i4>
      </vt:variant>
      <vt:variant>
        <vt:i4>0</vt:i4>
      </vt:variant>
      <vt:variant>
        <vt:i4>5</vt:i4>
      </vt:variant>
      <vt:variant>
        <vt:lpwstr/>
      </vt:variant>
      <vt:variant>
        <vt:lpwstr>_Toc358477115</vt:lpwstr>
      </vt:variant>
      <vt:variant>
        <vt:i4>1048637</vt:i4>
      </vt:variant>
      <vt:variant>
        <vt:i4>458</vt:i4>
      </vt:variant>
      <vt:variant>
        <vt:i4>0</vt:i4>
      </vt:variant>
      <vt:variant>
        <vt:i4>5</vt:i4>
      </vt:variant>
      <vt:variant>
        <vt:lpwstr/>
      </vt:variant>
      <vt:variant>
        <vt:lpwstr>_Toc358477114</vt:lpwstr>
      </vt:variant>
      <vt:variant>
        <vt:i4>1048637</vt:i4>
      </vt:variant>
      <vt:variant>
        <vt:i4>452</vt:i4>
      </vt:variant>
      <vt:variant>
        <vt:i4>0</vt:i4>
      </vt:variant>
      <vt:variant>
        <vt:i4>5</vt:i4>
      </vt:variant>
      <vt:variant>
        <vt:lpwstr/>
      </vt:variant>
      <vt:variant>
        <vt:lpwstr>_Toc358477113</vt:lpwstr>
      </vt:variant>
      <vt:variant>
        <vt:i4>1048637</vt:i4>
      </vt:variant>
      <vt:variant>
        <vt:i4>446</vt:i4>
      </vt:variant>
      <vt:variant>
        <vt:i4>0</vt:i4>
      </vt:variant>
      <vt:variant>
        <vt:i4>5</vt:i4>
      </vt:variant>
      <vt:variant>
        <vt:lpwstr/>
      </vt:variant>
      <vt:variant>
        <vt:lpwstr>_Toc358477112</vt:lpwstr>
      </vt:variant>
      <vt:variant>
        <vt:i4>1048637</vt:i4>
      </vt:variant>
      <vt:variant>
        <vt:i4>440</vt:i4>
      </vt:variant>
      <vt:variant>
        <vt:i4>0</vt:i4>
      </vt:variant>
      <vt:variant>
        <vt:i4>5</vt:i4>
      </vt:variant>
      <vt:variant>
        <vt:lpwstr/>
      </vt:variant>
      <vt:variant>
        <vt:lpwstr>_Toc358477111</vt:lpwstr>
      </vt:variant>
      <vt:variant>
        <vt:i4>1048637</vt:i4>
      </vt:variant>
      <vt:variant>
        <vt:i4>434</vt:i4>
      </vt:variant>
      <vt:variant>
        <vt:i4>0</vt:i4>
      </vt:variant>
      <vt:variant>
        <vt:i4>5</vt:i4>
      </vt:variant>
      <vt:variant>
        <vt:lpwstr/>
      </vt:variant>
      <vt:variant>
        <vt:lpwstr>_Toc358477110</vt:lpwstr>
      </vt:variant>
      <vt:variant>
        <vt:i4>1114173</vt:i4>
      </vt:variant>
      <vt:variant>
        <vt:i4>428</vt:i4>
      </vt:variant>
      <vt:variant>
        <vt:i4>0</vt:i4>
      </vt:variant>
      <vt:variant>
        <vt:i4>5</vt:i4>
      </vt:variant>
      <vt:variant>
        <vt:lpwstr/>
      </vt:variant>
      <vt:variant>
        <vt:lpwstr>_Toc358477109</vt:lpwstr>
      </vt:variant>
      <vt:variant>
        <vt:i4>1114173</vt:i4>
      </vt:variant>
      <vt:variant>
        <vt:i4>422</vt:i4>
      </vt:variant>
      <vt:variant>
        <vt:i4>0</vt:i4>
      </vt:variant>
      <vt:variant>
        <vt:i4>5</vt:i4>
      </vt:variant>
      <vt:variant>
        <vt:lpwstr/>
      </vt:variant>
      <vt:variant>
        <vt:lpwstr>_Toc358477108</vt:lpwstr>
      </vt:variant>
      <vt:variant>
        <vt:i4>1114173</vt:i4>
      </vt:variant>
      <vt:variant>
        <vt:i4>416</vt:i4>
      </vt:variant>
      <vt:variant>
        <vt:i4>0</vt:i4>
      </vt:variant>
      <vt:variant>
        <vt:i4>5</vt:i4>
      </vt:variant>
      <vt:variant>
        <vt:lpwstr/>
      </vt:variant>
      <vt:variant>
        <vt:lpwstr>_Toc358477107</vt:lpwstr>
      </vt:variant>
      <vt:variant>
        <vt:i4>1114173</vt:i4>
      </vt:variant>
      <vt:variant>
        <vt:i4>410</vt:i4>
      </vt:variant>
      <vt:variant>
        <vt:i4>0</vt:i4>
      </vt:variant>
      <vt:variant>
        <vt:i4>5</vt:i4>
      </vt:variant>
      <vt:variant>
        <vt:lpwstr/>
      </vt:variant>
      <vt:variant>
        <vt:lpwstr>_Toc358477106</vt:lpwstr>
      </vt:variant>
      <vt:variant>
        <vt:i4>1114173</vt:i4>
      </vt:variant>
      <vt:variant>
        <vt:i4>404</vt:i4>
      </vt:variant>
      <vt:variant>
        <vt:i4>0</vt:i4>
      </vt:variant>
      <vt:variant>
        <vt:i4>5</vt:i4>
      </vt:variant>
      <vt:variant>
        <vt:lpwstr/>
      </vt:variant>
      <vt:variant>
        <vt:lpwstr>_Toc358477105</vt:lpwstr>
      </vt:variant>
      <vt:variant>
        <vt:i4>1114173</vt:i4>
      </vt:variant>
      <vt:variant>
        <vt:i4>398</vt:i4>
      </vt:variant>
      <vt:variant>
        <vt:i4>0</vt:i4>
      </vt:variant>
      <vt:variant>
        <vt:i4>5</vt:i4>
      </vt:variant>
      <vt:variant>
        <vt:lpwstr/>
      </vt:variant>
      <vt:variant>
        <vt:lpwstr>_Toc358477104</vt:lpwstr>
      </vt:variant>
      <vt:variant>
        <vt:i4>1114173</vt:i4>
      </vt:variant>
      <vt:variant>
        <vt:i4>392</vt:i4>
      </vt:variant>
      <vt:variant>
        <vt:i4>0</vt:i4>
      </vt:variant>
      <vt:variant>
        <vt:i4>5</vt:i4>
      </vt:variant>
      <vt:variant>
        <vt:lpwstr/>
      </vt:variant>
      <vt:variant>
        <vt:lpwstr>_Toc358477103</vt:lpwstr>
      </vt:variant>
      <vt:variant>
        <vt:i4>1114173</vt:i4>
      </vt:variant>
      <vt:variant>
        <vt:i4>386</vt:i4>
      </vt:variant>
      <vt:variant>
        <vt:i4>0</vt:i4>
      </vt:variant>
      <vt:variant>
        <vt:i4>5</vt:i4>
      </vt:variant>
      <vt:variant>
        <vt:lpwstr/>
      </vt:variant>
      <vt:variant>
        <vt:lpwstr>_Toc358477102</vt:lpwstr>
      </vt:variant>
      <vt:variant>
        <vt:i4>1114173</vt:i4>
      </vt:variant>
      <vt:variant>
        <vt:i4>380</vt:i4>
      </vt:variant>
      <vt:variant>
        <vt:i4>0</vt:i4>
      </vt:variant>
      <vt:variant>
        <vt:i4>5</vt:i4>
      </vt:variant>
      <vt:variant>
        <vt:lpwstr/>
      </vt:variant>
      <vt:variant>
        <vt:lpwstr>_Toc358477101</vt:lpwstr>
      </vt:variant>
      <vt:variant>
        <vt:i4>1114173</vt:i4>
      </vt:variant>
      <vt:variant>
        <vt:i4>374</vt:i4>
      </vt:variant>
      <vt:variant>
        <vt:i4>0</vt:i4>
      </vt:variant>
      <vt:variant>
        <vt:i4>5</vt:i4>
      </vt:variant>
      <vt:variant>
        <vt:lpwstr/>
      </vt:variant>
      <vt:variant>
        <vt:lpwstr>_Toc358477100</vt:lpwstr>
      </vt:variant>
      <vt:variant>
        <vt:i4>1572924</vt:i4>
      </vt:variant>
      <vt:variant>
        <vt:i4>368</vt:i4>
      </vt:variant>
      <vt:variant>
        <vt:i4>0</vt:i4>
      </vt:variant>
      <vt:variant>
        <vt:i4>5</vt:i4>
      </vt:variant>
      <vt:variant>
        <vt:lpwstr/>
      </vt:variant>
      <vt:variant>
        <vt:lpwstr>_Toc358477099</vt:lpwstr>
      </vt:variant>
      <vt:variant>
        <vt:i4>1572924</vt:i4>
      </vt:variant>
      <vt:variant>
        <vt:i4>362</vt:i4>
      </vt:variant>
      <vt:variant>
        <vt:i4>0</vt:i4>
      </vt:variant>
      <vt:variant>
        <vt:i4>5</vt:i4>
      </vt:variant>
      <vt:variant>
        <vt:lpwstr/>
      </vt:variant>
      <vt:variant>
        <vt:lpwstr>_Toc358477098</vt:lpwstr>
      </vt:variant>
      <vt:variant>
        <vt:i4>1572924</vt:i4>
      </vt:variant>
      <vt:variant>
        <vt:i4>356</vt:i4>
      </vt:variant>
      <vt:variant>
        <vt:i4>0</vt:i4>
      </vt:variant>
      <vt:variant>
        <vt:i4>5</vt:i4>
      </vt:variant>
      <vt:variant>
        <vt:lpwstr/>
      </vt:variant>
      <vt:variant>
        <vt:lpwstr>_Toc358477097</vt:lpwstr>
      </vt:variant>
      <vt:variant>
        <vt:i4>1572924</vt:i4>
      </vt:variant>
      <vt:variant>
        <vt:i4>350</vt:i4>
      </vt:variant>
      <vt:variant>
        <vt:i4>0</vt:i4>
      </vt:variant>
      <vt:variant>
        <vt:i4>5</vt:i4>
      </vt:variant>
      <vt:variant>
        <vt:lpwstr/>
      </vt:variant>
      <vt:variant>
        <vt:lpwstr>_Toc358477096</vt:lpwstr>
      </vt:variant>
      <vt:variant>
        <vt:i4>1572924</vt:i4>
      </vt:variant>
      <vt:variant>
        <vt:i4>344</vt:i4>
      </vt:variant>
      <vt:variant>
        <vt:i4>0</vt:i4>
      </vt:variant>
      <vt:variant>
        <vt:i4>5</vt:i4>
      </vt:variant>
      <vt:variant>
        <vt:lpwstr/>
      </vt:variant>
      <vt:variant>
        <vt:lpwstr>_Toc358477095</vt:lpwstr>
      </vt:variant>
      <vt:variant>
        <vt:i4>1572924</vt:i4>
      </vt:variant>
      <vt:variant>
        <vt:i4>338</vt:i4>
      </vt:variant>
      <vt:variant>
        <vt:i4>0</vt:i4>
      </vt:variant>
      <vt:variant>
        <vt:i4>5</vt:i4>
      </vt:variant>
      <vt:variant>
        <vt:lpwstr/>
      </vt:variant>
      <vt:variant>
        <vt:lpwstr>_Toc358477094</vt:lpwstr>
      </vt:variant>
      <vt:variant>
        <vt:i4>1572924</vt:i4>
      </vt:variant>
      <vt:variant>
        <vt:i4>332</vt:i4>
      </vt:variant>
      <vt:variant>
        <vt:i4>0</vt:i4>
      </vt:variant>
      <vt:variant>
        <vt:i4>5</vt:i4>
      </vt:variant>
      <vt:variant>
        <vt:lpwstr/>
      </vt:variant>
      <vt:variant>
        <vt:lpwstr>_Toc358477093</vt:lpwstr>
      </vt:variant>
      <vt:variant>
        <vt:i4>1572924</vt:i4>
      </vt:variant>
      <vt:variant>
        <vt:i4>326</vt:i4>
      </vt:variant>
      <vt:variant>
        <vt:i4>0</vt:i4>
      </vt:variant>
      <vt:variant>
        <vt:i4>5</vt:i4>
      </vt:variant>
      <vt:variant>
        <vt:lpwstr/>
      </vt:variant>
      <vt:variant>
        <vt:lpwstr>_Toc358477092</vt:lpwstr>
      </vt:variant>
      <vt:variant>
        <vt:i4>1572924</vt:i4>
      </vt:variant>
      <vt:variant>
        <vt:i4>320</vt:i4>
      </vt:variant>
      <vt:variant>
        <vt:i4>0</vt:i4>
      </vt:variant>
      <vt:variant>
        <vt:i4>5</vt:i4>
      </vt:variant>
      <vt:variant>
        <vt:lpwstr/>
      </vt:variant>
      <vt:variant>
        <vt:lpwstr>_Toc358477091</vt:lpwstr>
      </vt:variant>
      <vt:variant>
        <vt:i4>1572924</vt:i4>
      </vt:variant>
      <vt:variant>
        <vt:i4>314</vt:i4>
      </vt:variant>
      <vt:variant>
        <vt:i4>0</vt:i4>
      </vt:variant>
      <vt:variant>
        <vt:i4>5</vt:i4>
      </vt:variant>
      <vt:variant>
        <vt:lpwstr/>
      </vt:variant>
      <vt:variant>
        <vt:lpwstr>_Toc358477090</vt:lpwstr>
      </vt:variant>
      <vt:variant>
        <vt:i4>1638460</vt:i4>
      </vt:variant>
      <vt:variant>
        <vt:i4>308</vt:i4>
      </vt:variant>
      <vt:variant>
        <vt:i4>0</vt:i4>
      </vt:variant>
      <vt:variant>
        <vt:i4>5</vt:i4>
      </vt:variant>
      <vt:variant>
        <vt:lpwstr/>
      </vt:variant>
      <vt:variant>
        <vt:lpwstr>_Toc358477089</vt:lpwstr>
      </vt:variant>
      <vt:variant>
        <vt:i4>1638460</vt:i4>
      </vt:variant>
      <vt:variant>
        <vt:i4>302</vt:i4>
      </vt:variant>
      <vt:variant>
        <vt:i4>0</vt:i4>
      </vt:variant>
      <vt:variant>
        <vt:i4>5</vt:i4>
      </vt:variant>
      <vt:variant>
        <vt:lpwstr/>
      </vt:variant>
      <vt:variant>
        <vt:lpwstr>_Toc358477088</vt:lpwstr>
      </vt:variant>
      <vt:variant>
        <vt:i4>1638460</vt:i4>
      </vt:variant>
      <vt:variant>
        <vt:i4>296</vt:i4>
      </vt:variant>
      <vt:variant>
        <vt:i4>0</vt:i4>
      </vt:variant>
      <vt:variant>
        <vt:i4>5</vt:i4>
      </vt:variant>
      <vt:variant>
        <vt:lpwstr/>
      </vt:variant>
      <vt:variant>
        <vt:lpwstr>_Toc358477087</vt:lpwstr>
      </vt:variant>
      <vt:variant>
        <vt:i4>1638460</vt:i4>
      </vt:variant>
      <vt:variant>
        <vt:i4>290</vt:i4>
      </vt:variant>
      <vt:variant>
        <vt:i4>0</vt:i4>
      </vt:variant>
      <vt:variant>
        <vt:i4>5</vt:i4>
      </vt:variant>
      <vt:variant>
        <vt:lpwstr/>
      </vt:variant>
      <vt:variant>
        <vt:lpwstr>_Toc358477086</vt:lpwstr>
      </vt:variant>
      <vt:variant>
        <vt:i4>1638460</vt:i4>
      </vt:variant>
      <vt:variant>
        <vt:i4>284</vt:i4>
      </vt:variant>
      <vt:variant>
        <vt:i4>0</vt:i4>
      </vt:variant>
      <vt:variant>
        <vt:i4>5</vt:i4>
      </vt:variant>
      <vt:variant>
        <vt:lpwstr/>
      </vt:variant>
      <vt:variant>
        <vt:lpwstr>_Toc358477085</vt:lpwstr>
      </vt:variant>
      <vt:variant>
        <vt:i4>1638460</vt:i4>
      </vt:variant>
      <vt:variant>
        <vt:i4>278</vt:i4>
      </vt:variant>
      <vt:variant>
        <vt:i4>0</vt:i4>
      </vt:variant>
      <vt:variant>
        <vt:i4>5</vt:i4>
      </vt:variant>
      <vt:variant>
        <vt:lpwstr/>
      </vt:variant>
      <vt:variant>
        <vt:lpwstr>_Toc358477084</vt:lpwstr>
      </vt:variant>
      <vt:variant>
        <vt:i4>1638460</vt:i4>
      </vt:variant>
      <vt:variant>
        <vt:i4>272</vt:i4>
      </vt:variant>
      <vt:variant>
        <vt:i4>0</vt:i4>
      </vt:variant>
      <vt:variant>
        <vt:i4>5</vt:i4>
      </vt:variant>
      <vt:variant>
        <vt:lpwstr/>
      </vt:variant>
      <vt:variant>
        <vt:lpwstr>_Toc358477083</vt:lpwstr>
      </vt:variant>
      <vt:variant>
        <vt:i4>1638460</vt:i4>
      </vt:variant>
      <vt:variant>
        <vt:i4>266</vt:i4>
      </vt:variant>
      <vt:variant>
        <vt:i4>0</vt:i4>
      </vt:variant>
      <vt:variant>
        <vt:i4>5</vt:i4>
      </vt:variant>
      <vt:variant>
        <vt:lpwstr/>
      </vt:variant>
      <vt:variant>
        <vt:lpwstr>_Toc358477082</vt:lpwstr>
      </vt:variant>
      <vt:variant>
        <vt:i4>1638460</vt:i4>
      </vt:variant>
      <vt:variant>
        <vt:i4>260</vt:i4>
      </vt:variant>
      <vt:variant>
        <vt:i4>0</vt:i4>
      </vt:variant>
      <vt:variant>
        <vt:i4>5</vt:i4>
      </vt:variant>
      <vt:variant>
        <vt:lpwstr/>
      </vt:variant>
      <vt:variant>
        <vt:lpwstr>_Toc358477081</vt:lpwstr>
      </vt:variant>
      <vt:variant>
        <vt:i4>1638460</vt:i4>
      </vt:variant>
      <vt:variant>
        <vt:i4>254</vt:i4>
      </vt:variant>
      <vt:variant>
        <vt:i4>0</vt:i4>
      </vt:variant>
      <vt:variant>
        <vt:i4>5</vt:i4>
      </vt:variant>
      <vt:variant>
        <vt:lpwstr/>
      </vt:variant>
      <vt:variant>
        <vt:lpwstr>_Toc358477080</vt:lpwstr>
      </vt:variant>
      <vt:variant>
        <vt:i4>1441852</vt:i4>
      </vt:variant>
      <vt:variant>
        <vt:i4>248</vt:i4>
      </vt:variant>
      <vt:variant>
        <vt:i4>0</vt:i4>
      </vt:variant>
      <vt:variant>
        <vt:i4>5</vt:i4>
      </vt:variant>
      <vt:variant>
        <vt:lpwstr/>
      </vt:variant>
      <vt:variant>
        <vt:lpwstr>_Toc358477079</vt:lpwstr>
      </vt:variant>
      <vt:variant>
        <vt:i4>1441852</vt:i4>
      </vt:variant>
      <vt:variant>
        <vt:i4>242</vt:i4>
      </vt:variant>
      <vt:variant>
        <vt:i4>0</vt:i4>
      </vt:variant>
      <vt:variant>
        <vt:i4>5</vt:i4>
      </vt:variant>
      <vt:variant>
        <vt:lpwstr/>
      </vt:variant>
      <vt:variant>
        <vt:lpwstr>_Toc358477078</vt:lpwstr>
      </vt:variant>
      <vt:variant>
        <vt:i4>1441852</vt:i4>
      </vt:variant>
      <vt:variant>
        <vt:i4>236</vt:i4>
      </vt:variant>
      <vt:variant>
        <vt:i4>0</vt:i4>
      </vt:variant>
      <vt:variant>
        <vt:i4>5</vt:i4>
      </vt:variant>
      <vt:variant>
        <vt:lpwstr/>
      </vt:variant>
      <vt:variant>
        <vt:lpwstr>_Toc358477077</vt:lpwstr>
      </vt:variant>
      <vt:variant>
        <vt:i4>1441852</vt:i4>
      </vt:variant>
      <vt:variant>
        <vt:i4>230</vt:i4>
      </vt:variant>
      <vt:variant>
        <vt:i4>0</vt:i4>
      </vt:variant>
      <vt:variant>
        <vt:i4>5</vt:i4>
      </vt:variant>
      <vt:variant>
        <vt:lpwstr/>
      </vt:variant>
      <vt:variant>
        <vt:lpwstr>_Toc358477076</vt:lpwstr>
      </vt:variant>
      <vt:variant>
        <vt:i4>1441852</vt:i4>
      </vt:variant>
      <vt:variant>
        <vt:i4>224</vt:i4>
      </vt:variant>
      <vt:variant>
        <vt:i4>0</vt:i4>
      </vt:variant>
      <vt:variant>
        <vt:i4>5</vt:i4>
      </vt:variant>
      <vt:variant>
        <vt:lpwstr/>
      </vt:variant>
      <vt:variant>
        <vt:lpwstr>_Toc358477075</vt:lpwstr>
      </vt:variant>
      <vt:variant>
        <vt:i4>1441852</vt:i4>
      </vt:variant>
      <vt:variant>
        <vt:i4>218</vt:i4>
      </vt:variant>
      <vt:variant>
        <vt:i4>0</vt:i4>
      </vt:variant>
      <vt:variant>
        <vt:i4>5</vt:i4>
      </vt:variant>
      <vt:variant>
        <vt:lpwstr/>
      </vt:variant>
      <vt:variant>
        <vt:lpwstr>_Toc358477074</vt:lpwstr>
      </vt:variant>
      <vt:variant>
        <vt:i4>1441852</vt:i4>
      </vt:variant>
      <vt:variant>
        <vt:i4>212</vt:i4>
      </vt:variant>
      <vt:variant>
        <vt:i4>0</vt:i4>
      </vt:variant>
      <vt:variant>
        <vt:i4>5</vt:i4>
      </vt:variant>
      <vt:variant>
        <vt:lpwstr/>
      </vt:variant>
      <vt:variant>
        <vt:lpwstr>_Toc358477073</vt:lpwstr>
      </vt:variant>
      <vt:variant>
        <vt:i4>1441852</vt:i4>
      </vt:variant>
      <vt:variant>
        <vt:i4>206</vt:i4>
      </vt:variant>
      <vt:variant>
        <vt:i4>0</vt:i4>
      </vt:variant>
      <vt:variant>
        <vt:i4>5</vt:i4>
      </vt:variant>
      <vt:variant>
        <vt:lpwstr/>
      </vt:variant>
      <vt:variant>
        <vt:lpwstr>_Toc358477072</vt:lpwstr>
      </vt:variant>
      <vt:variant>
        <vt:i4>1441852</vt:i4>
      </vt:variant>
      <vt:variant>
        <vt:i4>200</vt:i4>
      </vt:variant>
      <vt:variant>
        <vt:i4>0</vt:i4>
      </vt:variant>
      <vt:variant>
        <vt:i4>5</vt:i4>
      </vt:variant>
      <vt:variant>
        <vt:lpwstr/>
      </vt:variant>
      <vt:variant>
        <vt:lpwstr>_Toc358477071</vt:lpwstr>
      </vt:variant>
      <vt:variant>
        <vt:i4>1441852</vt:i4>
      </vt:variant>
      <vt:variant>
        <vt:i4>194</vt:i4>
      </vt:variant>
      <vt:variant>
        <vt:i4>0</vt:i4>
      </vt:variant>
      <vt:variant>
        <vt:i4>5</vt:i4>
      </vt:variant>
      <vt:variant>
        <vt:lpwstr/>
      </vt:variant>
      <vt:variant>
        <vt:lpwstr>_Toc358477070</vt:lpwstr>
      </vt:variant>
      <vt:variant>
        <vt:i4>1507388</vt:i4>
      </vt:variant>
      <vt:variant>
        <vt:i4>188</vt:i4>
      </vt:variant>
      <vt:variant>
        <vt:i4>0</vt:i4>
      </vt:variant>
      <vt:variant>
        <vt:i4>5</vt:i4>
      </vt:variant>
      <vt:variant>
        <vt:lpwstr/>
      </vt:variant>
      <vt:variant>
        <vt:lpwstr>_Toc358477069</vt:lpwstr>
      </vt:variant>
      <vt:variant>
        <vt:i4>1507388</vt:i4>
      </vt:variant>
      <vt:variant>
        <vt:i4>182</vt:i4>
      </vt:variant>
      <vt:variant>
        <vt:i4>0</vt:i4>
      </vt:variant>
      <vt:variant>
        <vt:i4>5</vt:i4>
      </vt:variant>
      <vt:variant>
        <vt:lpwstr/>
      </vt:variant>
      <vt:variant>
        <vt:lpwstr>_Toc358477068</vt:lpwstr>
      </vt:variant>
      <vt:variant>
        <vt:i4>1507388</vt:i4>
      </vt:variant>
      <vt:variant>
        <vt:i4>176</vt:i4>
      </vt:variant>
      <vt:variant>
        <vt:i4>0</vt:i4>
      </vt:variant>
      <vt:variant>
        <vt:i4>5</vt:i4>
      </vt:variant>
      <vt:variant>
        <vt:lpwstr/>
      </vt:variant>
      <vt:variant>
        <vt:lpwstr>_Toc358477067</vt:lpwstr>
      </vt:variant>
      <vt:variant>
        <vt:i4>1507388</vt:i4>
      </vt:variant>
      <vt:variant>
        <vt:i4>170</vt:i4>
      </vt:variant>
      <vt:variant>
        <vt:i4>0</vt:i4>
      </vt:variant>
      <vt:variant>
        <vt:i4>5</vt:i4>
      </vt:variant>
      <vt:variant>
        <vt:lpwstr/>
      </vt:variant>
      <vt:variant>
        <vt:lpwstr>_Toc358477066</vt:lpwstr>
      </vt:variant>
      <vt:variant>
        <vt:i4>1507388</vt:i4>
      </vt:variant>
      <vt:variant>
        <vt:i4>164</vt:i4>
      </vt:variant>
      <vt:variant>
        <vt:i4>0</vt:i4>
      </vt:variant>
      <vt:variant>
        <vt:i4>5</vt:i4>
      </vt:variant>
      <vt:variant>
        <vt:lpwstr/>
      </vt:variant>
      <vt:variant>
        <vt:lpwstr>_Toc358477065</vt:lpwstr>
      </vt:variant>
      <vt:variant>
        <vt:i4>1507388</vt:i4>
      </vt:variant>
      <vt:variant>
        <vt:i4>158</vt:i4>
      </vt:variant>
      <vt:variant>
        <vt:i4>0</vt:i4>
      </vt:variant>
      <vt:variant>
        <vt:i4>5</vt:i4>
      </vt:variant>
      <vt:variant>
        <vt:lpwstr/>
      </vt:variant>
      <vt:variant>
        <vt:lpwstr>_Toc358477064</vt:lpwstr>
      </vt:variant>
      <vt:variant>
        <vt:i4>1507388</vt:i4>
      </vt:variant>
      <vt:variant>
        <vt:i4>152</vt:i4>
      </vt:variant>
      <vt:variant>
        <vt:i4>0</vt:i4>
      </vt:variant>
      <vt:variant>
        <vt:i4>5</vt:i4>
      </vt:variant>
      <vt:variant>
        <vt:lpwstr/>
      </vt:variant>
      <vt:variant>
        <vt:lpwstr>_Toc358477063</vt:lpwstr>
      </vt:variant>
      <vt:variant>
        <vt:i4>1507388</vt:i4>
      </vt:variant>
      <vt:variant>
        <vt:i4>146</vt:i4>
      </vt:variant>
      <vt:variant>
        <vt:i4>0</vt:i4>
      </vt:variant>
      <vt:variant>
        <vt:i4>5</vt:i4>
      </vt:variant>
      <vt:variant>
        <vt:lpwstr/>
      </vt:variant>
      <vt:variant>
        <vt:lpwstr>_Toc358477062</vt:lpwstr>
      </vt:variant>
      <vt:variant>
        <vt:i4>1507388</vt:i4>
      </vt:variant>
      <vt:variant>
        <vt:i4>140</vt:i4>
      </vt:variant>
      <vt:variant>
        <vt:i4>0</vt:i4>
      </vt:variant>
      <vt:variant>
        <vt:i4>5</vt:i4>
      </vt:variant>
      <vt:variant>
        <vt:lpwstr/>
      </vt:variant>
      <vt:variant>
        <vt:lpwstr>_Toc358477061</vt:lpwstr>
      </vt:variant>
      <vt:variant>
        <vt:i4>1507388</vt:i4>
      </vt:variant>
      <vt:variant>
        <vt:i4>134</vt:i4>
      </vt:variant>
      <vt:variant>
        <vt:i4>0</vt:i4>
      </vt:variant>
      <vt:variant>
        <vt:i4>5</vt:i4>
      </vt:variant>
      <vt:variant>
        <vt:lpwstr/>
      </vt:variant>
      <vt:variant>
        <vt:lpwstr>_Toc358477060</vt:lpwstr>
      </vt:variant>
      <vt:variant>
        <vt:i4>1310780</vt:i4>
      </vt:variant>
      <vt:variant>
        <vt:i4>128</vt:i4>
      </vt:variant>
      <vt:variant>
        <vt:i4>0</vt:i4>
      </vt:variant>
      <vt:variant>
        <vt:i4>5</vt:i4>
      </vt:variant>
      <vt:variant>
        <vt:lpwstr/>
      </vt:variant>
      <vt:variant>
        <vt:lpwstr>_Toc358477059</vt:lpwstr>
      </vt:variant>
      <vt:variant>
        <vt:i4>1310780</vt:i4>
      </vt:variant>
      <vt:variant>
        <vt:i4>122</vt:i4>
      </vt:variant>
      <vt:variant>
        <vt:i4>0</vt:i4>
      </vt:variant>
      <vt:variant>
        <vt:i4>5</vt:i4>
      </vt:variant>
      <vt:variant>
        <vt:lpwstr/>
      </vt:variant>
      <vt:variant>
        <vt:lpwstr>_Toc358477058</vt:lpwstr>
      </vt:variant>
      <vt:variant>
        <vt:i4>1310780</vt:i4>
      </vt:variant>
      <vt:variant>
        <vt:i4>116</vt:i4>
      </vt:variant>
      <vt:variant>
        <vt:i4>0</vt:i4>
      </vt:variant>
      <vt:variant>
        <vt:i4>5</vt:i4>
      </vt:variant>
      <vt:variant>
        <vt:lpwstr/>
      </vt:variant>
      <vt:variant>
        <vt:lpwstr>_Toc358477057</vt:lpwstr>
      </vt:variant>
      <vt:variant>
        <vt:i4>1310780</vt:i4>
      </vt:variant>
      <vt:variant>
        <vt:i4>110</vt:i4>
      </vt:variant>
      <vt:variant>
        <vt:i4>0</vt:i4>
      </vt:variant>
      <vt:variant>
        <vt:i4>5</vt:i4>
      </vt:variant>
      <vt:variant>
        <vt:lpwstr/>
      </vt:variant>
      <vt:variant>
        <vt:lpwstr>_Toc358477056</vt:lpwstr>
      </vt:variant>
      <vt:variant>
        <vt:i4>1310780</vt:i4>
      </vt:variant>
      <vt:variant>
        <vt:i4>104</vt:i4>
      </vt:variant>
      <vt:variant>
        <vt:i4>0</vt:i4>
      </vt:variant>
      <vt:variant>
        <vt:i4>5</vt:i4>
      </vt:variant>
      <vt:variant>
        <vt:lpwstr/>
      </vt:variant>
      <vt:variant>
        <vt:lpwstr>_Toc358477055</vt:lpwstr>
      </vt:variant>
      <vt:variant>
        <vt:i4>1310780</vt:i4>
      </vt:variant>
      <vt:variant>
        <vt:i4>98</vt:i4>
      </vt:variant>
      <vt:variant>
        <vt:i4>0</vt:i4>
      </vt:variant>
      <vt:variant>
        <vt:i4>5</vt:i4>
      </vt:variant>
      <vt:variant>
        <vt:lpwstr/>
      </vt:variant>
      <vt:variant>
        <vt:lpwstr>_Toc358477054</vt:lpwstr>
      </vt:variant>
      <vt:variant>
        <vt:i4>1310780</vt:i4>
      </vt:variant>
      <vt:variant>
        <vt:i4>92</vt:i4>
      </vt:variant>
      <vt:variant>
        <vt:i4>0</vt:i4>
      </vt:variant>
      <vt:variant>
        <vt:i4>5</vt:i4>
      </vt:variant>
      <vt:variant>
        <vt:lpwstr/>
      </vt:variant>
      <vt:variant>
        <vt:lpwstr>_Toc358477053</vt:lpwstr>
      </vt:variant>
      <vt:variant>
        <vt:i4>1310780</vt:i4>
      </vt:variant>
      <vt:variant>
        <vt:i4>86</vt:i4>
      </vt:variant>
      <vt:variant>
        <vt:i4>0</vt:i4>
      </vt:variant>
      <vt:variant>
        <vt:i4>5</vt:i4>
      </vt:variant>
      <vt:variant>
        <vt:lpwstr/>
      </vt:variant>
      <vt:variant>
        <vt:lpwstr>_Toc358477052</vt:lpwstr>
      </vt:variant>
      <vt:variant>
        <vt:i4>1310780</vt:i4>
      </vt:variant>
      <vt:variant>
        <vt:i4>80</vt:i4>
      </vt:variant>
      <vt:variant>
        <vt:i4>0</vt:i4>
      </vt:variant>
      <vt:variant>
        <vt:i4>5</vt:i4>
      </vt:variant>
      <vt:variant>
        <vt:lpwstr/>
      </vt:variant>
      <vt:variant>
        <vt:lpwstr>_Toc358477051</vt:lpwstr>
      </vt:variant>
      <vt:variant>
        <vt:i4>1310780</vt:i4>
      </vt:variant>
      <vt:variant>
        <vt:i4>74</vt:i4>
      </vt:variant>
      <vt:variant>
        <vt:i4>0</vt:i4>
      </vt:variant>
      <vt:variant>
        <vt:i4>5</vt:i4>
      </vt:variant>
      <vt:variant>
        <vt:lpwstr/>
      </vt:variant>
      <vt:variant>
        <vt:lpwstr>_Toc358477050</vt:lpwstr>
      </vt:variant>
      <vt:variant>
        <vt:i4>1376316</vt:i4>
      </vt:variant>
      <vt:variant>
        <vt:i4>68</vt:i4>
      </vt:variant>
      <vt:variant>
        <vt:i4>0</vt:i4>
      </vt:variant>
      <vt:variant>
        <vt:i4>5</vt:i4>
      </vt:variant>
      <vt:variant>
        <vt:lpwstr/>
      </vt:variant>
      <vt:variant>
        <vt:lpwstr>_Toc358477049</vt:lpwstr>
      </vt:variant>
      <vt:variant>
        <vt:i4>1376316</vt:i4>
      </vt:variant>
      <vt:variant>
        <vt:i4>62</vt:i4>
      </vt:variant>
      <vt:variant>
        <vt:i4>0</vt:i4>
      </vt:variant>
      <vt:variant>
        <vt:i4>5</vt:i4>
      </vt:variant>
      <vt:variant>
        <vt:lpwstr/>
      </vt:variant>
      <vt:variant>
        <vt:lpwstr>_Toc358477048</vt:lpwstr>
      </vt:variant>
      <vt:variant>
        <vt:i4>1376316</vt:i4>
      </vt:variant>
      <vt:variant>
        <vt:i4>56</vt:i4>
      </vt:variant>
      <vt:variant>
        <vt:i4>0</vt:i4>
      </vt:variant>
      <vt:variant>
        <vt:i4>5</vt:i4>
      </vt:variant>
      <vt:variant>
        <vt:lpwstr/>
      </vt:variant>
      <vt:variant>
        <vt:lpwstr>_Toc358477047</vt:lpwstr>
      </vt:variant>
      <vt:variant>
        <vt:i4>1376316</vt:i4>
      </vt:variant>
      <vt:variant>
        <vt:i4>50</vt:i4>
      </vt:variant>
      <vt:variant>
        <vt:i4>0</vt:i4>
      </vt:variant>
      <vt:variant>
        <vt:i4>5</vt:i4>
      </vt:variant>
      <vt:variant>
        <vt:lpwstr/>
      </vt:variant>
      <vt:variant>
        <vt:lpwstr>_Toc358477046</vt:lpwstr>
      </vt:variant>
      <vt:variant>
        <vt:i4>1376316</vt:i4>
      </vt:variant>
      <vt:variant>
        <vt:i4>44</vt:i4>
      </vt:variant>
      <vt:variant>
        <vt:i4>0</vt:i4>
      </vt:variant>
      <vt:variant>
        <vt:i4>5</vt:i4>
      </vt:variant>
      <vt:variant>
        <vt:lpwstr/>
      </vt:variant>
      <vt:variant>
        <vt:lpwstr>_Toc358477045</vt:lpwstr>
      </vt:variant>
      <vt:variant>
        <vt:i4>1376316</vt:i4>
      </vt:variant>
      <vt:variant>
        <vt:i4>38</vt:i4>
      </vt:variant>
      <vt:variant>
        <vt:i4>0</vt:i4>
      </vt:variant>
      <vt:variant>
        <vt:i4>5</vt:i4>
      </vt:variant>
      <vt:variant>
        <vt:lpwstr/>
      </vt:variant>
      <vt:variant>
        <vt:lpwstr>_Toc358477044</vt:lpwstr>
      </vt:variant>
      <vt:variant>
        <vt:i4>1376316</vt:i4>
      </vt:variant>
      <vt:variant>
        <vt:i4>32</vt:i4>
      </vt:variant>
      <vt:variant>
        <vt:i4>0</vt:i4>
      </vt:variant>
      <vt:variant>
        <vt:i4>5</vt:i4>
      </vt:variant>
      <vt:variant>
        <vt:lpwstr/>
      </vt:variant>
      <vt:variant>
        <vt:lpwstr>_Toc358477043</vt:lpwstr>
      </vt:variant>
      <vt:variant>
        <vt:i4>1376316</vt:i4>
      </vt:variant>
      <vt:variant>
        <vt:i4>26</vt:i4>
      </vt:variant>
      <vt:variant>
        <vt:i4>0</vt:i4>
      </vt:variant>
      <vt:variant>
        <vt:i4>5</vt:i4>
      </vt:variant>
      <vt:variant>
        <vt:lpwstr/>
      </vt:variant>
      <vt:variant>
        <vt:lpwstr>_Toc358477042</vt:lpwstr>
      </vt:variant>
      <vt:variant>
        <vt:i4>1376316</vt:i4>
      </vt:variant>
      <vt:variant>
        <vt:i4>20</vt:i4>
      </vt:variant>
      <vt:variant>
        <vt:i4>0</vt:i4>
      </vt:variant>
      <vt:variant>
        <vt:i4>5</vt:i4>
      </vt:variant>
      <vt:variant>
        <vt:lpwstr/>
      </vt:variant>
      <vt:variant>
        <vt:lpwstr>_Toc358477041</vt:lpwstr>
      </vt:variant>
      <vt:variant>
        <vt:i4>1376316</vt:i4>
      </vt:variant>
      <vt:variant>
        <vt:i4>14</vt:i4>
      </vt:variant>
      <vt:variant>
        <vt:i4>0</vt:i4>
      </vt:variant>
      <vt:variant>
        <vt:i4>5</vt:i4>
      </vt:variant>
      <vt:variant>
        <vt:lpwstr/>
      </vt:variant>
      <vt:variant>
        <vt:lpwstr>_Toc358477040</vt:lpwstr>
      </vt:variant>
      <vt:variant>
        <vt:i4>1179708</vt:i4>
      </vt:variant>
      <vt:variant>
        <vt:i4>8</vt:i4>
      </vt:variant>
      <vt:variant>
        <vt:i4>0</vt:i4>
      </vt:variant>
      <vt:variant>
        <vt:i4>5</vt:i4>
      </vt:variant>
      <vt:variant>
        <vt:lpwstr/>
      </vt:variant>
      <vt:variant>
        <vt:lpwstr>_Toc358477039</vt:lpwstr>
      </vt:variant>
      <vt:variant>
        <vt:i4>1179708</vt:i4>
      </vt:variant>
      <vt:variant>
        <vt:i4>2</vt:i4>
      </vt:variant>
      <vt:variant>
        <vt:i4>0</vt:i4>
      </vt:variant>
      <vt:variant>
        <vt:i4>5</vt:i4>
      </vt:variant>
      <vt:variant>
        <vt:lpwstr/>
      </vt:variant>
      <vt:variant>
        <vt:lpwstr>_Toc358477038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dc:creator>
  <cp:lastModifiedBy>Antonín Bouchal</cp:lastModifiedBy>
  <cp:revision>2</cp:revision>
  <cp:lastPrinted>2014-11-26T23:30:00Z</cp:lastPrinted>
  <dcterms:created xsi:type="dcterms:W3CDTF">2015-03-27T00:29:00Z</dcterms:created>
  <dcterms:modified xsi:type="dcterms:W3CDTF">2015-03-27T00:29:00Z</dcterms:modified>
</cp:coreProperties>
</file>